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AA" w:rsidRPr="007628A1" w:rsidRDefault="00A54F3F" w:rsidP="0080436F">
      <w:pPr>
        <w:pStyle w:val="Heading1"/>
        <w:jc w:val="center"/>
        <w:rPr>
          <w:rFonts w:asciiTheme="minorHAnsi" w:hAnsiTheme="minorHAnsi"/>
          <w:i/>
          <w:color w:val="auto"/>
          <w:sz w:val="24"/>
          <w:szCs w:val="24"/>
          <w:u w:val="single"/>
        </w:rPr>
      </w:pPr>
      <w:bookmarkStart w:id="0" w:name="_GoBack"/>
      <w:bookmarkEnd w:id="0"/>
      <w:r w:rsidRPr="007628A1">
        <w:rPr>
          <w:rFonts w:asciiTheme="minorHAnsi" w:hAnsiTheme="minorHAnsi" w:cs="Arial"/>
          <w:noProof/>
          <w:color w:val="auto"/>
          <w:sz w:val="18"/>
          <w:szCs w:val="18"/>
          <w:lang w:eastAsia="en-AU"/>
        </w:rPr>
        <w:drawing>
          <wp:anchor distT="0" distB="0" distL="114300" distR="114300" simplePos="0" relativeHeight="251659264" behindDoc="0" locked="0" layoutInCell="1" allowOverlap="1" wp14:anchorId="589E7EA5" wp14:editId="536D5522">
            <wp:simplePos x="0" y="0"/>
            <wp:positionH relativeFrom="column">
              <wp:posOffset>4207139</wp:posOffset>
            </wp:positionH>
            <wp:positionV relativeFrom="paragraph">
              <wp:posOffset>-936625</wp:posOffset>
            </wp:positionV>
            <wp:extent cx="1699260" cy="854710"/>
            <wp:effectExtent l="0" t="0" r="0" b="2540"/>
            <wp:wrapNone/>
            <wp:docPr id="1" name="Picture 1" descr="Description: Description: Description: Description: Worksafe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WorksafeEm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926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F04" w:rsidRPr="007628A1">
        <w:rPr>
          <w:rFonts w:asciiTheme="minorHAnsi" w:hAnsiTheme="minorHAnsi"/>
          <w:color w:val="auto"/>
        </w:rPr>
        <w:t xml:space="preserve">Consultation </w:t>
      </w:r>
      <w:r w:rsidR="00E61CAA" w:rsidRPr="007628A1">
        <w:rPr>
          <w:rFonts w:asciiTheme="minorHAnsi" w:hAnsiTheme="minorHAnsi"/>
          <w:color w:val="auto"/>
        </w:rPr>
        <w:t>Overview Paper</w:t>
      </w:r>
    </w:p>
    <w:p w:rsidR="00E61CAA" w:rsidRPr="007628A1" w:rsidRDefault="00E61CAA" w:rsidP="0080436F">
      <w:pPr>
        <w:pStyle w:val="Heading2"/>
        <w:jc w:val="center"/>
        <w:rPr>
          <w:rFonts w:asciiTheme="minorHAnsi" w:hAnsiTheme="minorHAnsi"/>
          <w:color w:val="auto"/>
        </w:rPr>
      </w:pPr>
      <w:r w:rsidRPr="007628A1">
        <w:rPr>
          <w:rFonts w:asciiTheme="minorHAnsi" w:hAnsiTheme="minorHAnsi"/>
          <w:color w:val="auto"/>
        </w:rPr>
        <w:t>Red Tape Reduction in Rehabilitation and Compensation Act 1988</w:t>
      </w:r>
    </w:p>
    <w:p w:rsidR="009113B7" w:rsidRPr="007628A1" w:rsidRDefault="00204F04" w:rsidP="0080436F">
      <w:pPr>
        <w:pStyle w:val="Heading2"/>
        <w:jc w:val="center"/>
        <w:rPr>
          <w:rFonts w:asciiTheme="minorHAnsi" w:hAnsiTheme="minorHAnsi"/>
          <w:color w:val="auto"/>
        </w:rPr>
      </w:pPr>
      <w:r w:rsidRPr="007628A1">
        <w:rPr>
          <w:rFonts w:asciiTheme="minorHAnsi" w:hAnsiTheme="minorHAnsi"/>
          <w:color w:val="auto"/>
        </w:rPr>
        <w:t>Stage 2</w:t>
      </w:r>
    </w:p>
    <w:p w:rsidR="00693371" w:rsidRPr="00B7774E" w:rsidRDefault="00F878D1" w:rsidP="0080436F">
      <w:pPr>
        <w:pStyle w:val="Heading2"/>
        <w:jc w:val="center"/>
        <w:rPr>
          <w:color w:val="auto"/>
        </w:rPr>
      </w:pPr>
      <w:r w:rsidRPr="007628A1">
        <w:rPr>
          <w:rFonts w:asciiTheme="minorHAnsi" w:hAnsiTheme="minorHAnsi"/>
          <w:color w:val="auto"/>
        </w:rPr>
        <w:t xml:space="preserve">Potential </w:t>
      </w:r>
      <w:r w:rsidR="00693371" w:rsidRPr="007628A1">
        <w:rPr>
          <w:rFonts w:asciiTheme="minorHAnsi" w:hAnsiTheme="minorHAnsi"/>
          <w:color w:val="auto"/>
        </w:rPr>
        <w:t>Amendments</w:t>
      </w:r>
    </w:p>
    <w:p w:rsidR="008E1CEC" w:rsidRPr="00C02F2D" w:rsidRDefault="008E1CEC" w:rsidP="00C02F2D">
      <w:pPr>
        <w:pStyle w:val="Heading3"/>
      </w:pPr>
      <w:r w:rsidRPr="00C02F2D">
        <w:t>Licencing of insurers</w:t>
      </w:r>
    </w:p>
    <w:p w:rsidR="008E1CEC" w:rsidRPr="00B7774E" w:rsidRDefault="008E1CEC" w:rsidP="008E1CEC">
      <w:pPr>
        <w:pBdr>
          <w:bottom w:val="single" w:sz="4" w:space="1" w:color="808080" w:themeColor="background1" w:themeShade="80"/>
        </w:pBdr>
        <w:spacing w:after="140"/>
        <w:ind w:left="426"/>
        <w:jc w:val="both"/>
        <w:rPr>
          <w:b/>
          <w:iCs/>
          <w:sz w:val="20"/>
          <w:szCs w:val="20"/>
        </w:rPr>
      </w:pPr>
      <w:r w:rsidRPr="00B7774E">
        <w:rPr>
          <w:b/>
          <w:iCs/>
          <w:sz w:val="20"/>
          <w:szCs w:val="20"/>
        </w:rPr>
        <w:t>Sections 98-103, 108-113</w:t>
      </w:r>
    </w:p>
    <w:p w:rsidR="008E1CEC" w:rsidRPr="00B7774E" w:rsidRDefault="008E1CEC" w:rsidP="008E1CEC">
      <w:pPr>
        <w:spacing w:after="0"/>
        <w:ind w:left="426"/>
        <w:jc w:val="both"/>
        <w:rPr>
          <w:b/>
          <w:iCs/>
        </w:rPr>
      </w:pPr>
      <w:r w:rsidRPr="00B7774E">
        <w:rPr>
          <w:b/>
          <w:iCs/>
        </w:rPr>
        <w:t>Issue:</w:t>
      </w:r>
    </w:p>
    <w:p w:rsidR="008E1CEC" w:rsidRPr="00B7774E" w:rsidRDefault="008E1CEC" w:rsidP="008E1CEC">
      <w:pPr>
        <w:ind w:left="426"/>
        <w:jc w:val="both"/>
        <w:rPr>
          <w:bCs/>
        </w:rPr>
      </w:pPr>
      <w:r w:rsidRPr="00B7774E">
        <w:rPr>
          <w:bCs/>
        </w:rPr>
        <w:t xml:space="preserve">The Act requires insurers to be licenced by the Board prior to carrying out any employers’ liability insurance for workers compensation. The Act contains a number of provisions specifying how licencing arrangements are to be managed, criteria that must be satisfied prior to the </w:t>
      </w:r>
      <w:r w:rsidR="00AD25C9">
        <w:rPr>
          <w:bCs/>
        </w:rPr>
        <w:t xml:space="preserve">WorkCover Tasmania </w:t>
      </w:r>
      <w:r w:rsidRPr="00B7774E">
        <w:rPr>
          <w:bCs/>
        </w:rPr>
        <w:t xml:space="preserve">Board granting a licence and any conditions that may be included. Subject to criteria specified in the Act, a licence remains in force for 36 months. </w:t>
      </w:r>
    </w:p>
    <w:p w:rsidR="008E1CEC" w:rsidRPr="00B7774E" w:rsidRDefault="008E1CEC" w:rsidP="008E1CEC">
      <w:pPr>
        <w:spacing w:after="0"/>
        <w:ind w:left="426"/>
        <w:jc w:val="both"/>
        <w:rPr>
          <w:b/>
          <w:iCs/>
        </w:rPr>
      </w:pPr>
      <w:r w:rsidRPr="00B7774E">
        <w:rPr>
          <w:b/>
          <w:iCs/>
        </w:rPr>
        <w:t>Potential amendment:</w:t>
      </w:r>
    </w:p>
    <w:p w:rsidR="008E1CEC" w:rsidRPr="00B7774E" w:rsidRDefault="008E1CEC" w:rsidP="008E1CEC">
      <w:pPr>
        <w:spacing w:after="0"/>
        <w:ind w:left="426"/>
        <w:jc w:val="both"/>
        <w:rPr>
          <w:rStyle w:val="SubtleEmphasis"/>
          <w:color w:val="auto"/>
        </w:rPr>
      </w:pPr>
      <w:r w:rsidRPr="00B7774E">
        <w:rPr>
          <w:rStyle w:val="SubtleEmphasis"/>
          <w:color w:val="auto"/>
        </w:rPr>
        <w:t>Proposal 1: Remove the requirement for licencing</w:t>
      </w:r>
    </w:p>
    <w:p w:rsidR="008E1CEC" w:rsidRPr="00B7774E" w:rsidRDefault="008E1CEC" w:rsidP="008E1CEC">
      <w:pPr>
        <w:spacing w:after="140"/>
        <w:ind w:left="426"/>
        <w:jc w:val="both"/>
      </w:pPr>
      <w:r w:rsidRPr="00B7774E">
        <w:t>This option would allow employers and (APRA) approved insurers to determine their own arrangements and would reduce the regulatory burden relating to licencing.</w:t>
      </w:r>
    </w:p>
    <w:p w:rsidR="008E1CEC" w:rsidRPr="00B7774E" w:rsidRDefault="008E1CEC" w:rsidP="008E1CEC">
      <w:pPr>
        <w:spacing w:after="0"/>
        <w:ind w:left="426"/>
        <w:jc w:val="both"/>
        <w:rPr>
          <w:rStyle w:val="SubtleEmphasis"/>
          <w:color w:val="auto"/>
        </w:rPr>
      </w:pPr>
      <w:r w:rsidRPr="00B7774E">
        <w:rPr>
          <w:rStyle w:val="SubtleEmphasis"/>
          <w:color w:val="auto"/>
        </w:rPr>
        <w:t>Proposal 2: Define another mechanism to set a standard</w:t>
      </w:r>
    </w:p>
    <w:p w:rsidR="008E1CEC" w:rsidRPr="00B7774E" w:rsidRDefault="00657FE2" w:rsidP="008E1CEC">
      <w:pPr>
        <w:spacing w:after="140"/>
        <w:ind w:left="426"/>
        <w:jc w:val="both"/>
        <w:rPr>
          <w:bCs/>
        </w:rPr>
      </w:pPr>
      <w:r>
        <w:rPr>
          <w:bCs/>
        </w:rPr>
        <w:t>Other potential mechanism</w:t>
      </w:r>
      <w:r w:rsidR="008E1CEC" w:rsidRPr="00B7774E">
        <w:rPr>
          <w:bCs/>
        </w:rPr>
        <w:t xml:space="preserve"> for ensuring good practice in workers compensation liability insurance are available which may provide more streamlined but still effective methods for dealing with this issue. For instance, any APRA</w:t>
      </w:r>
      <w:r w:rsidR="008E1CEC" w:rsidRPr="00B7774E">
        <w:rPr>
          <w:rStyle w:val="FootnoteReference"/>
          <w:bCs/>
        </w:rPr>
        <w:footnoteReference w:id="1"/>
      </w:r>
      <w:r w:rsidR="008E1CEC" w:rsidRPr="00B7774E">
        <w:rPr>
          <w:bCs/>
        </w:rPr>
        <w:t xml:space="preserve"> approved insurer could be permitted to offer workers compensation </w:t>
      </w:r>
      <w:r w:rsidR="008E1CEC" w:rsidRPr="00B7774E">
        <w:t>insurance</w:t>
      </w:r>
      <w:r w:rsidR="008E1CEC" w:rsidRPr="00B7774E">
        <w:rPr>
          <w:bCs/>
        </w:rPr>
        <w:t>. The Board would have no involvement in setting performance standards.</w:t>
      </w:r>
    </w:p>
    <w:p w:rsidR="008E1CEC" w:rsidRPr="00B7774E" w:rsidRDefault="008E1CEC" w:rsidP="008E1CEC">
      <w:pPr>
        <w:spacing w:after="0"/>
        <w:ind w:left="426"/>
        <w:jc w:val="both"/>
        <w:rPr>
          <w:rStyle w:val="SubtleEmphasis"/>
          <w:color w:val="auto"/>
        </w:rPr>
      </w:pPr>
      <w:r w:rsidRPr="00B7774E">
        <w:rPr>
          <w:rStyle w:val="SubtleEmphasis"/>
          <w:color w:val="auto"/>
        </w:rPr>
        <w:t>Proposal 3: Simplify the process</w:t>
      </w:r>
    </w:p>
    <w:p w:rsidR="008E1CEC" w:rsidRPr="00B7774E" w:rsidRDefault="00D458E7" w:rsidP="008E1CEC">
      <w:pPr>
        <w:ind w:left="426"/>
        <w:jc w:val="both"/>
        <w:rPr>
          <w:bCs/>
        </w:rPr>
      </w:pPr>
      <w:r>
        <w:rPr>
          <w:bCs/>
        </w:rPr>
        <w:t xml:space="preserve">This </w:t>
      </w:r>
      <w:r w:rsidR="008E1CEC" w:rsidRPr="00B7774E">
        <w:rPr>
          <w:bCs/>
        </w:rPr>
        <w:t xml:space="preserve">option </w:t>
      </w:r>
      <w:r>
        <w:rPr>
          <w:bCs/>
        </w:rPr>
        <w:t>would</w:t>
      </w:r>
      <w:r w:rsidR="008E1CEC" w:rsidRPr="00B7774E">
        <w:rPr>
          <w:bCs/>
        </w:rPr>
        <w:t xml:space="preserve"> retain the requirement for insurers to be licenced, but to simplify or streamline the current requirements to reduce processing and red tape. One such amendment that is under consideration is extending the life of a licence beyond 36 months.</w:t>
      </w:r>
    </w:p>
    <w:p w:rsidR="008E1CEC" w:rsidRPr="00B7774E" w:rsidRDefault="008E1CEC" w:rsidP="00C02F2D">
      <w:pPr>
        <w:pStyle w:val="Heading3"/>
      </w:pPr>
      <w:r w:rsidRPr="00B7774E">
        <w:t>Permits for employers wishing to self-insure</w:t>
      </w:r>
    </w:p>
    <w:p w:rsidR="008E1CEC" w:rsidRPr="00B7774E" w:rsidRDefault="008E1CEC" w:rsidP="008E1CEC">
      <w:pPr>
        <w:pBdr>
          <w:bottom w:val="single" w:sz="4" w:space="1" w:color="808080" w:themeColor="background1" w:themeShade="80"/>
        </w:pBdr>
        <w:spacing w:after="140"/>
        <w:ind w:left="426"/>
        <w:jc w:val="both"/>
        <w:rPr>
          <w:b/>
          <w:iCs/>
          <w:sz w:val="20"/>
          <w:szCs w:val="20"/>
        </w:rPr>
      </w:pPr>
      <w:r w:rsidRPr="00B7774E">
        <w:rPr>
          <w:b/>
          <w:iCs/>
          <w:sz w:val="20"/>
          <w:szCs w:val="20"/>
        </w:rPr>
        <w:t>Sections 104-113</w:t>
      </w:r>
    </w:p>
    <w:p w:rsidR="008E1CEC" w:rsidRPr="00B7774E" w:rsidRDefault="008E1CEC" w:rsidP="008E1CEC">
      <w:pPr>
        <w:spacing w:after="0"/>
        <w:ind w:left="426"/>
        <w:jc w:val="both"/>
        <w:rPr>
          <w:b/>
          <w:iCs/>
        </w:rPr>
      </w:pPr>
      <w:r w:rsidRPr="00B7774E">
        <w:rPr>
          <w:b/>
          <w:iCs/>
        </w:rPr>
        <w:t>Issue:</w:t>
      </w:r>
    </w:p>
    <w:p w:rsidR="008E1CEC" w:rsidRPr="00B7774E" w:rsidRDefault="008E1CEC" w:rsidP="008E1CEC">
      <w:pPr>
        <w:ind w:left="426"/>
        <w:jc w:val="both"/>
      </w:pPr>
      <w:r w:rsidRPr="00B7774E">
        <w:t>This issue is similar to the licencing of insurers covered above, but relates to employers who wish to self-insure against workers compensation liability. The Act currently allows employers to apply for permits to self-insure, and contains a number of requirements</w:t>
      </w:r>
      <w:r w:rsidR="00744A2C">
        <w:t xml:space="preserve"> for</w:t>
      </w:r>
      <w:r w:rsidRPr="00B7774E">
        <w:t xml:space="preserve"> these. The </w:t>
      </w:r>
      <w:r w:rsidR="00AD25C9">
        <w:rPr>
          <w:bCs/>
        </w:rPr>
        <w:lastRenderedPageBreak/>
        <w:t xml:space="preserve">WorkCover Tasmania </w:t>
      </w:r>
      <w:r w:rsidR="00AD25C9" w:rsidRPr="00B7774E">
        <w:rPr>
          <w:bCs/>
        </w:rPr>
        <w:t>Board</w:t>
      </w:r>
      <w:r w:rsidR="00AD25C9" w:rsidRPr="00B7774E">
        <w:t xml:space="preserve"> </w:t>
      </w:r>
      <w:r w:rsidRPr="00B7774E">
        <w:t xml:space="preserve">must consider a number of factors before issuing a permit, including the employer’s financial history, ability to satisfy prudential standards, capacity to comply with the Act and commitment to health and safety, amongst others. </w:t>
      </w:r>
    </w:p>
    <w:p w:rsidR="008E1CEC" w:rsidRPr="00B7774E" w:rsidRDefault="008E1CEC" w:rsidP="008E1CEC">
      <w:pPr>
        <w:spacing w:after="0"/>
        <w:ind w:left="426"/>
        <w:jc w:val="both"/>
        <w:rPr>
          <w:b/>
          <w:iCs/>
        </w:rPr>
      </w:pPr>
      <w:r w:rsidRPr="00B7774E">
        <w:rPr>
          <w:b/>
          <w:iCs/>
        </w:rPr>
        <w:t>Potential amendment:</w:t>
      </w:r>
    </w:p>
    <w:p w:rsidR="008E1CEC" w:rsidRPr="00B7774E" w:rsidRDefault="008E1CEC" w:rsidP="008E1CEC">
      <w:pPr>
        <w:spacing w:after="0"/>
        <w:ind w:left="426"/>
        <w:jc w:val="both"/>
        <w:rPr>
          <w:rStyle w:val="SubtleEmphasis"/>
          <w:color w:val="auto"/>
        </w:rPr>
      </w:pPr>
      <w:r w:rsidRPr="00B7774E">
        <w:rPr>
          <w:rStyle w:val="SubtleEmphasis"/>
          <w:color w:val="auto"/>
        </w:rPr>
        <w:t>Proposal 1: Remove the provision for permits</w:t>
      </w:r>
    </w:p>
    <w:p w:rsidR="008E1CEC" w:rsidRPr="00B7774E" w:rsidRDefault="008E1CEC" w:rsidP="008E1CEC">
      <w:pPr>
        <w:spacing w:after="140"/>
        <w:ind w:left="426"/>
        <w:jc w:val="both"/>
        <w:rPr>
          <w:bCs/>
        </w:rPr>
      </w:pPr>
      <w:r w:rsidRPr="00B7774E">
        <w:rPr>
          <w:bCs/>
        </w:rPr>
        <w:t>In this scenario, employers would no longer have the ability to self-insure. Self-insurance provides minimal additional benefit to the workers compensation scheme but creates additional complexity to the Act’s requirements and removal of these sections would streamline the Act.</w:t>
      </w:r>
    </w:p>
    <w:p w:rsidR="008E1CEC" w:rsidRPr="00B7774E" w:rsidRDefault="008E1CEC" w:rsidP="008E1CEC">
      <w:pPr>
        <w:spacing w:after="0"/>
        <w:ind w:left="426"/>
        <w:jc w:val="both"/>
        <w:rPr>
          <w:rStyle w:val="SubtleEmphasis"/>
          <w:color w:val="auto"/>
        </w:rPr>
      </w:pPr>
      <w:r w:rsidRPr="00B7774E">
        <w:rPr>
          <w:rStyle w:val="SubtleEmphasis"/>
          <w:color w:val="auto"/>
        </w:rPr>
        <w:t>Proposal 2: Define another mechanism to set a standard</w:t>
      </w:r>
    </w:p>
    <w:p w:rsidR="008E1CEC" w:rsidRPr="00B7774E" w:rsidRDefault="008E1CEC" w:rsidP="008E1CEC">
      <w:pPr>
        <w:spacing w:after="140"/>
        <w:ind w:left="426"/>
        <w:jc w:val="both"/>
        <w:rPr>
          <w:bCs/>
        </w:rPr>
      </w:pPr>
      <w:r w:rsidRPr="00B7774E">
        <w:rPr>
          <w:bCs/>
        </w:rPr>
        <w:t>This option would modify or simplify the permit conditions and application process by removing many of the current permit and application requirements that currently protect workers.</w:t>
      </w:r>
    </w:p>
    <w:p w:rsidR="008E1CEC" w:rsidRPr="00B7774E" w:rsidRDefault="008E1CEC" w:rsidP="008E1CEC">
      <w:pPr>
        <w:spacing w:after="0"/>
        <w:ind w:left="426"/>
        <w:jc w:val="both"/>
        <w:rPr>
          <w:rStyle w:val="SubtleEmphasis"/>
          <w:color w:val="auto"/>
        </w:rPr>
      </w:pPr>
      <w:r w:rsidRPr="00B7774E">
        <w:rPr>
          <w:rStyle w:val="SubtleEmphasis"/>
          <w:color w:val="auto"/>
        </w:rPr>
        <w:t>Proposal 3: Simplify the process</w:t>
      </w:r>
    </w:p>
    <w:p w:rsidR="008E1CEC" w:rsidRPr="00B7774E" w:rsidRDefault="00D458E7" w:rsidP="008E1CEC">
      <w:pPr>
        <w:ind w:left="426"/>
        <w:jc w:val="both"/>
        <w:rPr>
          <w:bCs/>
        </w:rPr>
      </w:pPr>
      <w:r>
        <w:rPr>
          <w:bCs/>
        </w:rPr>
        <w:t xml:space="preserve">This option would </w:t>
      </w:r>
      <w:r w:rsidR="008E1CEC" w:rsidRPr="00B7774E">
        <w:rPr>
          <w:bCs/>
        </w:rPr>
        <w:t xml:space="preserve">retain the provision for employers to self-insure, but to simplify or streamline the current requirements to reduce red tape. As suggested </w:t>
      </w:r>
      <w:r w:rsidR="00744A2C">
        <w:rPr>
          <w:bCs/>
        </w:rPr>
        <w:t>with</w:t>
      </w:r>
      <w:r w:rsidR="008E1CEC" w:rsidRPr="00B7774E">
        <w:rPr>
          <w:bCs/>
        </w:rPr>
        <w:t xml:space="preserve"> the licencing of insurers, it may be helpful to extend the life of a permit beyond 36 months, together with other amendments as appropriate.</w:t>
      </w:r>
    </w:p>
    <w:p w:rsidR="008E1CEC" w:rsidRPr="00B7774E" w:rsidRDefault="008E1CEC" w:rsidP="00C02F2D">
      <w:pPr>
        <w:pStyle w:val="Heading3"/>
      </w:pPr>
      <w:r w:rsidRPr="00B7774E">
        <w:t xml:space="preserve">Accreditation of medical practitioners, workplace rehabilitation providers and providers of prescribed services </w:t>
      </w:r>
    </w:p>
    <w:p w:rsidR="008E1CEC" w:rsidRPr="00B7774E" w:rsidRDefault="008E1CEC" w:rsidP="008E1CEC">
      <w:pPr>
        <w:pBdr>
          <w:bottom w:val="single" w:sz="4" w:space="1" w:color="808080" w:themeColor="background1" w:themeShade="80"/>
        </w:pBdr>
        <w:spacing w:after="140"/>
        <w:ind w:left="426"/>
        <w:jc w:val="both"/>
        <w:rPr>
          <w:b/>
          <w:iCs/>
          <w:sz w:val="20"/>
          <w:szCs w:val="20"/>
        </w:rPr>
      </w:pPr>
      <w:r w:rsidRPr="00B7774E">
        <w:rPr>
          <w:b/>
          <w:iCs/>
          <w:sz w:val="20"/>
          <w:szCs w:val="20"/>
        </w:rPr>
        <w:t>Sections 77A-H, 25, 69(1) and Regulation 19 of the Workers Rehabilitation and Compensation Regulations 2001</w:t>
      </w:r>
    </w:p>
    <w:p w:rsidR="008E1CEC" w:rsidRPr="00B7774E" w:rsidRDefault="008E1CEC" w:rsidP="008E1CEC">
      <w:pPr>
        <w:spacing w:after="0"/>
        <w:ind w:left="426"/>
        <w:jc w:val="both"/>
        <w:rPr>
          <w:b/>
          <w:iCs/>
        </w:rPr>
      </w:pPr>
      <w:r w:rsidRPr="00B7774E">
        <w:rPr>
          <w:b/>
          <w:iCs/>
        </w:rPr>
        <w:t>Issue:</w:t>
      </w:r>
    </w:p>
    <w:p w:rsidR="008E1CEC" w:rsidRPr="00B7774E" w:rsidRDefault="008E1CEC" w:rsidP="008E1CEC">
      <w:pPr>
        <w:ind w:left="426"/>
        <w:jc w:val="both"/>
        <w:rPr>
          <w:iCs/>
        </w:rPr>
      </w:pPr>
      <w:r w:rsidRPr="00B7774E">
        <w:rPr>
          <w:iCs/>
        </w:rPr>
        <w:t xml:space="preserve">The Act contains a number of requirements </w:t>
      </w:r>
      <w:r w:rsidR="00744A2C">
        <w:rPr>
          <w:iCs/>
        </w:rPr>
        <w:t>for</w:t>
      </w:r>
      <w:r w:rsidRPr="00B7774E">
        <w:rPr>
          <w:iCs/>
        </w:rPr>
        <w:t xml:space="preserve"> the accreditation of specified practitioners by the WorkCover Tasmania Board. The Act also contains a number of related provisions </w:t>
      </w:r>
      <w:r w:rsidR="00744A2C">
        <w:rPr>
          <w:iCs/>
        </w:rPr>
        <w:t>for</w:t>
      </w:r>
      <w:r w:rsidRPr="00B7774E">
        <w:rPr>
          <w:iCs/>
        </w:rPr>
        <w:t xml:space="preserve"> to accreditation of these persons, such as the process for applying for accreditation, criteria to be satisfied before the Board may grant accreditation, the duration of accreditation and the process for revoking or suspending accreditation. The duration of accreditation is generally a period of three years.</w:t>
      </w:r>
    </w:p>
    <w:p w:rsidR="008E1CEC" w:rsidRPr="00657FE2" w:rsidRDefault="008E1CEC" w:rsidP="008E1CEC">
      <w:pPr>
        <w:spacing w:after="0"/>
        <w:ind w:left="426"/>
        <w:jc w:val="both"/>
        <w:rPr>
          <w:bCs/>
          <w:i/>
        </w:rPr>
      </w:pPr>
      <w:r w:rsidRPr="00657FE2">
        <w:rPr>
          <w:bCs/>
          <w:i/>
        </w:rPr>
        <w:t>Accreditation of medical practitioners</w:t>
      </w:r>
    </w:p>
    <w:p w:rsidR="008E1CEC" w:rsidRPr="00B7774E" w:rsidRDefault="008E1CEC" w:rsidP="008E1CEC">
      <w:pPr>
        <w:ind w:left="426"/>
        <w:jc w:val="both"/>
        <w:rPr>
          <w:iCs/>
        </w:rPr>
      </w:pPr>
      <w:r w:rsidRPr="00B7774E">
        <w:rPr>
          <w:iCs/>
        </w:rPr>
        <w:t>Medical practitioners are required to be accredited in order to carry out the following functions under the Act:</w:t>
      </w:r>
    </w:p>
    <w:p w:rsidR="008E1CEC" w:rsidRPr="00B7774E" w:rsidRDefault="008E1CEC" w:rsidP="008E1CEC">
      <w:pPr>
        <w:pStyle w:val="ListParagraph"/>
        <w:numPr>
          <w:ilvl w:val="0"/>
          <w:numId w:val="1"/>
        </w:numPr>
        <w:jc w:val="both"/>
      </w:pPr>
      <w:r w:rsidRPr="00B7774E">
        <w:t xml:space="preserve">signing a certificate accompanying a claim for compensation </w:t>
      </w:r>
      <w:r w:rsidR="00657FE2">
        <w:t>(Section 77A(1))</w:t>
      </w:r>
    </w:p>
    <w:p w:rsidR="008E1CEC" w:rsidRPr="00B7774E" w:rsidRDefault="008E1CEC" w:rsidP="008E1CEC">
      <w:pPr>
        <w:pStyle w:val="ListParagraph"/>
        <w:numPr>
          <w:ilvl w:val="0"/>
          <w:numId w:val="1"/>
        </w:numPr>
        <w:jc w:val="both"/>
      </w:pPr>
      <w:r w:rsidRPr="00B7774E">
        <w:t xml:space="preserve">certifying an injured worker’s total or partial incapacity for work </w:t>
      </w:r>
      <w:r w:rsidR="00657FE2">
        <w:t>(Section 69(1))</w:t>
      </w:r>
    </w:p>
    <w:p w:rsidR="008E1CEC" w:rsidRPr="00B7774E" w:rsidRDefault="008E1CEC" w:rsidP="008E1CEC">
      <w:pPr>
        <w:pStyle w:val="ListParagraph"/>
        <w:numPr>
          <w:ilvl w:val="0"/>
          <w:numId w:val="1"/>
        </w:numPr>
        <w:jc w:val="both"/>
      </w:pPr>
      <w:proofErr w:type="gramStart"/>
      <w:r w:rsidRPr="00B7774E">
        <w:t>certifying</w:t>
      </w:r>
      <w:proofErr w:type="gramEnd"/>
      <w:r w:rsidRPr="00B7774E">
        <w:t xml:space="preserve"> brucellosis (undulant fever) from a blood pathology examination (Section 25).</w:t>
      </w:r>
    </w:p>
    <w:p w:rsidR="008E1CEC" w:rsidRPr="00B7774E" w:rsidRDefault="008E1CEC" w:rsidP="008E1CEC">
      <w:pPr>
        <w:ind w:left="426"/>
        <w:jc w:val="both"/>
        <w:rPr>
          <w:iCs/>
        </w:rPr>
      </w:pPr>
      <w:r w:rsidRPr="00B7774E">
        <w:rPr>
          <w:iCs/>
        </w:rPr>
        <w:t>The Act requires the Board to consult with any representative bodies it considers represent the interests of the practitioner or person prior to revocation or suspension.</w:t>
      </w:r>
    </w:p>
    <w:p w:rsidR="008E1CEC" w:rsidRPr="00657FE2" w:rsidRDefault="008E1CEC" w:rsidP="008E1CEC">
      <w:pPr>
        <w:spacing w:after="0"/>
        <w:ind w:left="426"/>
        <w:jc w:val="both"/>
        <w:rPr>
          <w:bCs/>
          <w:i/>
        </w:rPr>
      </w:pPr>
      <w:r w:rsidRPr="00657FE2">
        <w:rPr>
          <w:bCs/>
          <w:i/>
        </w:rPr>
        <w:t xml:space="preserve">Accreditation of workplace rehabilitation providers </w:t>
      </w:r>
    </w:p>
    <w:p w:rsidR="008E1CEC" w:rsidRPr="00B7774E" w:rsidRDefault="008E1CEC" w:rsidP="008E1CEC">
      <w:pPr>
        <w:ind w:left="426"/>
        <w:jc w:val="both"/>
        <w:rPr>
          <w:iCs/>
        </w:rPr>
      </w:pPr>
      <w:r w:rsidRPr="00B7774E">
        <w:rPr>
          <w:iCs/>
        </w:rPr>
        <w:lastRenderedPageBreak/>
        <w:t>Workplace rehabilitation providers are required to be accredited by the Board before providing workplace rehabilitation services for the purposes of the Act. These services include:</w:t>
      </w:r>
    </w:p>
    <w:p w:rsidR="008E1CEC" w:rsidRPr="00B7774E" w:rsidRDefault="008E1CEC" w:rsidP="008E1CEC">
      <w:pPr>
        <w:pStyle w:val="ListParagraph"/>
        <w:numPr>
          <w:ilvl w:val="0"/>
          <w:numId w:val="1"/>
        </w:numPr>
        <w:jc w:val="both"/>
      </w:pPr>
      <w:r w:rsidRPr="00B7774E">
        <w:t>initial workpla</w:t>
      </w:r>
      <w:r w:rsidR="00657FE2">
        <w:t>ce rehabilitation assessment</w:t>
      </w:r>
    </w:p>
    <w:p w:rsidR="008E1CEC" w:rsidRPr="00B7774E" w:rsidRDefault="008E1CEC" w:rsidP="008E1CEC">
      <w:pPr>
        <w:pStyle w:val="ListParagraph"/>
        <w:numPr>
          <w:ilvl w:val="0"/>
          <w:numId w:val="1"/>
        </w:numPr>
        <w:jc w:val="both"/>
      </w:pPr>
      <w:r w:rsidRPr="00B7774E">
        <w:t>assessment of the fun</w:t>
      </w:r>
      <w:r w:rsidR="00657FE2">
        <w:t>ctional capacity of a worker</w:t>
      </w:r>
    </w:p>
    <w:p w:rsidR="008E1CEC" w:rsidRPr="00B7774E" w:rsidRDefault="00657FE2" w:rsidP="008E1CEC">
      <w:pPr>
        <w:pStyle w:val="ListParagraph"/>
        <w:numPr>
          <w:ilvl w:val="0"/>
          <w:numId w:val="1"/>
        </w:numPr>
        <w:jc w:val="both"/>
      </w:pPr>
      <w:r>
        <w:t>workplace assessment</w:t>
      </w:r>
    </w:p>
    <w:p w:rsidR="008E1CEC" w:rsidRPr="00B7774E" w:rsidRDefault="00657FE2" w:rsidP="008E1CEC">
      <w:pPr>
        <w:pStyle w:val="ListParagraph"/>
        <w:numPr>
          <w:ilvl w:val="0"/>
          <w:numId w:val="1"/>
        </w:numPr>
        <w:jc w:val="both"/>
      </w:pPr>
      <w:r>
        <w:t>job analysis</w:t>
      </w:r>
    </w:p>
    <w:p w:rsidR="008E1CEC" w:rsidRPr="00B7774E" w:rsidRDefault="008E1CEC" w:rsidP="008E1CEC">
      <w:pPr>
        <w:pStyle w:val="ListParagraph"/>
        <w:numPr>
          <w:ilvl w:val="0"/>
          <w:numId w:val="1"/>
        </w:numPr>
        <w:jc w:val="both"/>
      </w:pPr>
      <w:r w:rsidRPr="00B7774E">
        <w:t>advice</w:t>
      </w:r>
      <w:r w:rsidR="00657FE2">
        <w:t xml:space="preserve"> concerning job modification</w:t>
      </w:r>
    </w:p>
    <w:p w:rsidR="008E1CEC" w:rsidRPr="00B7774E" w:rsidRDefault="00657FE2" w:rsidP="008E1CEC">
      <w:pPr>
        <w:pStyle w:val="ListParagraph"/>
        <w:numPr>
          <w:ilvl w:val="0"/>
          <w:numId w:val="1"/>
        </w:numPr>
        <w:jc w:val="both"/>
      </w:pPr>
      <w:r>
        <w:t>rehabilitation counselling</w:t>
      </w:r>
    </w:p>
    <w:p w:rsidR="008E1CEC" w:rsidRPr="00B7774E" w:rsidRDefault="008E1CEC" w:rsidP="008E1CEC">
      <w:pPr>
        <w:pStyle w:val="ListParagraph"/>
        <w:numPr>
          <w:ilvl w:val="0"/>
          <w:numId w:val="1"/>
        </w:numPr>
        <w:jc w:val="both"/>
      </w:pPr>
      <w:r w:rsidRPr="00B7774E">
        <w:t>voc</w:t>
      </w:r>
      <w:r w:rsidR="00657FE2">
        <w:t>ational assessment</w:t>
      </w:r>
    </w:p>
    <w:p w:rsidR="008E1CEC" w:rsidRPr="00B7774E" w:rsidRDefault="008E1CEC" w:rsidP="008E1CEC">
      <w:pPr>
        <w:pStyle w:val="ListParagraph"/>
        <w:numPr>
          <w:ilvl w:val="0"/>
          <w:numId w:val="1"/>
        </w:numPr>
        <w:jc w:val="both"/>
      </w:pPr>
      <w:r w:rsidRPr="00B7774E">
        <w:t>advice or assistanc</w:t>
      </w:r>
      <w:r w:rsidR="00657FE2">
        <w:t xml:space="preserve">e </w:t>
      </w:r>
      <w:r w:rsidR="00744A2C">
        <w:t>with</w:t>
      </w:r>
      <w:r w:rsidR="00657FE2">
        <w:t xml:space="preserve"> job seeking</w:t>
      </w:r>
    </w:p>
    <w:p w:rsidR="008E1CEC" w:rsidRPr="00B7774E" w:rsidRDefault="008E1CEC" w:rsidP="008E1CEC">
      <w:pPr>
        <w:pStyle w:val="ListParagraph"/>
        <w:numPr>
          <w:ilvl w:val="0"/>
          <w:numId w:val="1"/>
        </w:numPr>
        <w:jc w:val="both"/>
      </w:pPr>
      <w:r w:rsidRPr="00B7774E">
        <w:t>advice or assistance in arranging vocational re-education or training; or</w:t>
      </w:r>
    </w:p>
    <w:p w:rsidR="008E1CEC" w:rsidRPr="00B7774E" w:rsidRDefault="008E1CEC" w:rsidP="008E1CEC">
      <w:pPr>
        <w:pStyle w:val="ListParagraph"/>
        <w:numPr>
          <w:ilvl w:val="0"/>
          <w:numId w:val="1"/>
        </w:numPr>
        <w:jc w:val="both"/>
      </w:pPr>
      <w:proofErr w:type="gramStart"/>
      <w:r w:rsidRPr="00B7774E">
        <w:t>any</w:t>
      </w:r>
      <w:proofErr w:type="gramEnd"/>
      <w:r w:rsidRPr="00B7774E">
        <w:t xml:space="preserve"> other service that is prescribed by the regulations.</w:t>
      </w:r>
    </w:p>
    <w:p w:rsidR="008E1CEC" w:rsidRPr="00657FE2" w:rsidRDefault="008E1CEC" w:rsidP="008E1CEC">
      <w:pPr>
        <w:spacing w:after="0"/>
        <w:ind w:left="426"/>
        <w:jc w:val="both"/>
        <w:rPr>
          <w:i/>
        </w:rPr>
      </w:pPr>
      <w:r w:rsidRPr="00657FE2">
        <w:rPr>
          <w:i/>
        </w:rPr>
        <w:t xml:space="preserve">Accreditation of impairment assessors </w:t>
      </w:r>
    </w:p>
    <w:p w:rsidR="008E1CEC" w:rsidRPr="00B7774E" w:rsidRDefault="008E1CEC" w:rsidP="008E1CEC">
      <w:pPr>
        <w:ind w:left="426"/>
        <w:jc w:val="both"/>
        <w:rPr>
          <w:iCs/>
        </w:rPr>
      </w:pPr>
      <w:r w:rsidRPr="00B7774E">
        <w:rPr>
          <w:iCs/>
        </w:rPr>
        <w:t xml:space="preserve">The Act also requires that any person must be accredited prior to: </w:t>
      </w:r>
    </w:p>
    <w:p w:rsidR="008E1CEC" w:rsidRPr="00B7774E" w:rsidRDefault="008E1CEC" w:rsidP="0080436F">
      <w:pPr>
        <w:pStyle w:val="ListParagraph"/>
        <w:numPr>
          <w:ilvl w:val="0"/>
          <w:numId w:val="1"/>
        </w:numPr>
        <w:jc w:val="both"/>
      </w:pPr>
      <w:r w:rsidRPr="00B7774E">
        <w:t xml:space="preserve">assessing the degree of a worker’s impairment from an injury for which compensation may be payable (Section 77A(3) and Regulation 19 of the Workers Rehabilitation and </w:t>
      </w:r>
      <w:r w:rsidR="00657FE2">
        <w:t>Compensation Regulations 2001)</w:t>
      </w:r>
    </w:p>
    <w:p w:rsidR="008E1CEC" w:rsidRPr="00B7774E" w:rsidRDefault="008E1CEC" w:rsidP="008E1CEC">
      <w:pPr>
        <w:pStyle w:val="ListParagraph"/>
        <w:numPr>
          <w:ilvl w:val="0"/>
          <w:numId w:val="1"/>
        </w:numPr>
        <w:jc w:val="both"/>
      </w:pPr>
      <w:r w:rsidRPr="00B7774E">
        <w:t xml:space="preserve">signing a certificate accompanying a claim for compensation </w:t>
      </w:r>
      <w:r w:rsidR="00657FE2">
        <w:t>(Section 77A(1))</w:t>
      </w:r>
    </w:p>
    <w:p w:rsidR="008E1CEC" w:rsidRPr="00B7774E" w:rsidRDefault="008E1CEC" w:rsidP="008E1CEC">
      <w:pPr>
        <w:pStyle w:val="ListParagraph"/>
        <w:numPr>
          <w:ilvl w:val="0"/>
          <w:numId w:val="1"/>
        </w:numPr>
        <w:jc w:val="both"/>
      </w:pPr>
      <w:proofErr w:type="gramStart"/>
      <w:r w:rsidRPr="00B7774E">
        <w:t>certifying</w:t>
      </w:r>
      <w:proofErr w:type="gramEnd"/>
      <w:r w:rsidRPr="00B7774E">
        <w:t xml:space="preserve"> an injured worker’s total or partial incapacity for work (Section 69(a)).</w:t>
      </w:r>
    </w:p>
    <w:p w:rsidR="008E1CEC" w:rsidRPr="00B7774E" w:rsidRDefault="008E1CEC" w:rsidP="008E1CEC">
      <w:pPr>
        <w:spacing w:after="0"/>
        <w:ind w:left="426"/>
        <w:jc w:val="both"/>
        <w:rPr>
          <w:b/>
          <w:iCs/>
        </w:rPr>
      </w:pPr>
      <w:r w:rsidRPr="00B7774E">
        <w:rPr>
          <w:b/>
          <w:iCs/>
        </w:rPr>
        <w:t>Potential amendment:</w:t>
      </w:r>
    </w:p>
    <w:p w:rsidR="008E1CEC" w:rsidRPr="00B7774E" w:rsidRDefault="008E1CEC" w:rsidP="008E1CEC">
      <w:pPr>
        <w:spacing w:after="0"/>
        <w:ind w:left="426"/>
        <w:jc w:val="both"/>
        <w:rPr>
          <w:rStyle w:val="SubtleEmphasis"/>
          <w:color w:val="auto"/>
        </w:rPr>
      </w:pPr>
      <w:r w:rsidRPr="00B7774E">
        <w:rPr>
          <w:rStyle w:val="SubtleEmphasis"/>
          <w:color w:val="auto"/>
        </w:rPr>
        <w:t>Proposal 1: Remove the requirement for accreditation</w:t>
      </w:r>
    </w:p>
    <w:p w:rsidR="008E1CEC" w:rsidRPr="00B7774E" w:rsidRDefault="00D458E7" w:rsidP="008E1CEC">
      <w:pPr>
        <w:spacing w:after="140"/>
        <w:ind w:left="426"/>
        <w:jc w:val="both"/>
        <w:rPr>
          <w:iCs/>
        </w:rPr>
      </w:pPr>
      <w:r>
        <w:t>This</w:t>
      </w:r>
      <w:r w:rsidR="008E1CEC" w:rsidRPr="00B7774E">
        <w:t xml:space="preserve"> option </w:t>
      </w:r>
      <w:r>
        <w:t xml:space="preserve">would </w:t>
      </w:r>
      <w:r w:rsidR="008E1CEC" w:rsidRPr="00B7774E">
        <w:t>remove the need for accreditation for medical practitioners, rehabilitation providers and impairment assessors</w:t>
      </w:r>
      <w:r w:rsidR="008E1CEC" w:rsidRPr="00B7774E">
        <w:rPr>
          <w:iCs/>
        </w:rPr>
        <w:t>.</w:t>
      </w:r>
      <w:r w:rsidR="008E1CEC" w:rsidRPr="00B7774E">
        <w:t xml:space="preserve"> </w:t>
      </w:r>
      <w:r>
        <w:t>O</w:t>
      </w:r>
      <w:r w:rsidR="008E1CEC" w:rsidRPr="00B7774E">
        <w:t xml:space="preserve">ther qualifications and criteria relevant to the profession can provide assurance of expertise and impartiality, and the removal of the requirement will simplify the process for practitioners, workers and employers, and provide opportunities for participation to a wider pool of professionals. </w:t>
      </w:r>
    </w:p>
    <w:p w:rsidR="008E1CEC" w:rsidRPr="00B7774E" w:rsidRDefault="008E1CEC" w:rsidP="008E1CEC">
      <w:pPr>
        <w:spacing w:after="0"/>
        <w:ind w:left="426"/>
        <w:jc w:val="both"/>
        <w:rPr>
          <w:rStyle w:val="SubtleEmphasis"/>
          <w:color w:val="auto"/>
        </w:rPr>
      </w:pPr>
      <w:r w:rsidRPr="00B7774E">
        <w:rPr>
          <w:rStyle w:val="SubtleEmphasis"/>
          <w:color w:val="auto"/>
        </w:rPr>
        <w:t>Proposal 2: Retain accreditation but simplify the requirements</w:t>
      </w:r>
    </w:p>
    <w:p w:rsidR="008E1CEC" w:rsidRPr="00B7774E" w:rsidRDefault="00D458E7" w:rsidP="008E1CEC">
      <w:pPr>
        <w:spacing w:after="140"/>
        <w:ind w:left="426"/>
        <w:jc w:val="both"/>
      </w:pPr>
      <w:r>
        <w:t>This</w:t>
      </w:r>
      <w:r w:rsidR="008E1CEC" w:rsidRPr="00B7774E">
        <w:t xml:space="preserve"> option </w:t>
      </w:r>
      <w:r>
        <w:t xml:space="preserve">would </w:t>
      </w:r>
      <w:r w:rsidR="008E1CEC" w:rsidRPr="00B7774E">
        <w:t>retain accreditation but to simplify the requirements related to this, including removing the requirement for consultation</w:t>
      </w:r>
      <w:r w:rsidR="00744A2C">
        <w:t xml:space="preserve"> about</w:t>
      </w:r>
      <w:r w:rsidR="008E1CEC" w:rsidRPr="00B7774E">
        <w:t xml:space="preserve"> revocation or suspension of accreditation. These proposed changes </w:t>
      </w:r>
      <w:r>
        <w:t xml:space="preserve">would </w:t>
      </w:r>
      <w:r w:rsidR="008E1CEC" w:rsidRPr="00B7774E">
        <w:t>streamlin</w:t>
      </w:r>
      <w:r>
        <w:t>e processes and allow</w:t>
      </w:r>
      <w:r w:rsidR="008E1CEC" w:rsidRPr="00B7774E">
        <w:t xml:space="preserve"> smaller providers to participate more easily while still retaining a level of oversight by the Board. </w:t>
      </w:r>
    </w:p>
    <w:p w:rsidR="008E1CEC" w:rsidRPr="00B7774E" w:rsidRDefault="008E1CEC" w:rsidP="008E1CEC">
      <w:pPr>
        <w:spacing w:after="0"/>
        <w:ind w:left="426"/>
        <w:jc w:val="both"/>
        <w:rPr>
          <w:rStyle w:val="SubtleEmphasis"/>
          <w:color w:val="auto"/>
        </w:rPr>
      </w:pPr>
      <w:r w:rsidRPr="00B7774E">
        <w:rPr>
          <w:rStyle w:val="SubtleEmphasis"/>
          <w:color w:val="auto"/>
        </w:rPr>
        <w:t>Proposal 3: Retain accreditation but extend the duration</w:t>
      </w:r>
    </w:p>
    <w:p w:rsidR="008E1CEC" w:rsidRPr="00B7774E" w:rsidRDefault="00D458E7" w:rsidP="008E1CEC">
      <w:pPr>
        <w:spacing w:after="140"/>
        <w:ind w:left="426"/>
        <w:jc w:val="both"/>
        <w:rPr>
          <w:rStyle w:val="SubtleEmphasis"/>
          <w:color w:val="auto"/>
        </w:rPr>
      </w:pPr>
      <w:r>
        <w:t>This</w:t>
      </w:r>
      <w:r w:rsidR="008E1CEC" w:rsidRPr="00B7774E">
        <w:t xml:space="preserve"> option </w:t>
      </w:r>
      <w:r>
        <w:t xml:space="preserve">would </w:t>
      </w:r>
      <w:r w:rsidR="008E1CEC" w:rsidRPr="00B7774E">
        <w:t>extend the duration of accreditation (for instance, from three years to five or eight) to make it easier for practitioners to participate and reduce red tape. This option could be implemented in tandem with option 2.</w:t>
      </w:r>
    </w:p>
    <w:p w:rsidR="008E1CEC" w:rsidRPr="00B7774E" w:rsidRDefault="008E1CEC" w:rsidP="008E1CEC">
      <w:pPr>
        <w:spacing w:after="0"/>
        <w:ind w:left="426"/>
        <w:jc w:val="both"/>
        <w:rPr>
          <w:rStyle w:val="SubtleEmphasis"/>
          <w:color w:val="auto"/>
        </w:rPr>
      </w:pPr>
      <w:r w:rsidRPr="00B7774E">
        <w:rPr>
          <w:rStyle w:val="SubtleEmphasis"/>
          <w:color w:val="auto"/>
        </w:rPr>
        <w:t xml:space="preserve">Proposal 4: Replace the requirement for accreditation with an alternative mechanism </w:t>
      </w:r>
    </w:p>
    <w:p w:rsidR="008E1CEC" w:rsidRPr="00B7774E" w:rsidRDefault="00D458E7" w:rsidP="008E1CEC">
      <w:pPr>
        <w:ind w:left="426"/>
        <w:jc w:val="both"/>
      </w:pPr>
      <w:r>
        <w:t>This</w:t>
      </w:r>
      <w:r w:rsidR="008E1CEC" w:rsidRPr="00B7774E">
        <w:t xml:space="preserve"> option </w:t>
      </w:r>
      <w:r>
        <w:t xml:space="preserve">would </w:t>
      </w:r>
      <w:r w:rsidR="008E1CEC" w:rsidRPr="00B7774E">
        <w:t xml:space="preserve">replace accreditation with an alternative method of achieving assurance that practitioners are sufficiently well-versed in the requirements of the Act and </w:t>
      </w:r>
      <w:r w:rsidR="008E1CEC" w:rsidRPr="00B7774E">
        <w:rPr>
          <w:bCs/>
        </w:rPr>
        <w:t>are</w:t>
      </w:r>
      <w:r w:rsidR="008E1CEC" w:rsidRPr="00B7774E">
        <w:t xml:space="preserve"> suitable </w:t>
      </w:r>
      <w:r w:rsidR="008E1CEC" w:rsidRPr="00B7774E">
        <w:lastRenderedPageBreak/>
        <w:t>professionals for this purpose. This would involve setting minimum training and qualifications criteria that would need to be satisfied.</w:t>
      </w:r>
    </w:p>
    <w:p w:rsidR="006F4A65" w:rsidRPr="00B7774E" w:rsidRDefault="006F4A65" w:rsidP="00C02F2D">
      <w:pPr>
        <w:pStyle w:val="Heading3"/>
      </w:pPr>
      <w:r w:rsidRPr="00B7774E">
        <w:t xml:space="preserve">Injury management programs </w:t>
      </w:r>
    </w:p>
    <w:p w:rsidR="006F4A65" w:rsidRPr="00B7774E" w:rsidRDefault="006F4A65" w:rsidP="006F4A65">
      <w:pPr>
        <w:pBdr>
          <w:bottom w:val="single" w:sz="4" w:space="1" w:color="808080" w:themeColor="background1" w:themeShade="80"/>
        </w:pBdr>
        <w:spacing w:after="140"/>
        <w:ind w:left="426"/>
        <w:jc w:val="both"/>
        <w:rPr>
          <w:b/>
          <w:iCs/>
          <w:sz w:val="20"/>
          <w:szCs w:val="20"/>
        </w:rPr>
      </w:pPr>
      <w:r w:rsidRPr="00B7774E">
        <w:rPr>
          <w:b/>
          <w:iCs/>
          <w:sz w:val="20"/>
          <w:szCs w:val="20"/>
        </w:rPr>
        <w:t>Sections 142 and 143</w:t>
      </w:r>
    </w:p>
    <w:p w:rsidR="006F4A65" w:rsidRPr="00B7774E" w:rsidRDefault="006F4A65" w:rsidP="006F4A65">
      <w:pPr>
        <w:spacing w:after="0"/>
        <w:ind w:left="426"/>
        <w:jc w:val="both"/>
        <w:rPr>
          <w:b/>
          <w:iCs/>
        </w:rPr>
      </w:pPr>
      <w:r w:rsidRPr="00B7774E">
        <w:rPr>
          <w:b/>
          <w:iCs/>
        </w:rPr>
        <w:t>Issue:</w:t>
      </w:r>
    </w:p>
    <w:p w:rsidR="006F4A65" w:rsidRPr="00B7774E" w:rsidRDefault="006F4A65" w:rsidP="006F4A65">
      <w:pPr>
        <w:ind w:left="426"/>
        <w:jc w:val="both"/>
      </w:pPr>
      <w:r w:rsidRPr="00B7774E">
        <w:t xml:space="preserve">Under Sections 142(3) and 142(4), all employers must have in place an injury management program and must comply with it. Insurers also have an obligation to ensure that employers have a program in place. </w:t>
      </w:r>
    </w:p>
    <w:p w:rsidR="006F4A65" w:rsidRPr="00B7774E" w:rsidRDefault="006F4A65" w:rsidP="006F4A65">
      <w:pPr>
        <w:ind w:left="426"/>
        <w:jc w:val="both"/>
      </w:pPr>
      <w:r w:rsidRPr="00B7774E">
        <w:t xml:space="preserve">An injury management program must be submitted to the </w:t>
      </w:r>
      <w:r w:rsidR="00AD25C9">
        <w:rPr>
          <w:bCs/>
        </w:rPr>
        <w:t xml:space="preserve">WorkCover Tasmania </w:t>
      </w:r>
      <w:r w:rsidR="00AD25C9" w:rsidRPr="00B7774E">
        <w:rPr>
          <w:bCs/>
        </w:rPr>
        <w:t>Board</w:t>
      </w:r>
      <w:r w:rsidRPr="00B7774E">
        <w:t xml:space="preserve"> or the employer’s insurer for approval. A program approved by the Board may be used by multiple employers. Once approved, a program remains in force for up to three years but must be reviewed every 12 months. </w:t>
      </w:r>
    </w:p>
    <w:p w:rsidR="006F4A65" w:rsidRPr="00B7774E" w:rsidRDefault="006F4A65" w:rsidP="006F4A65">
      <w:pPr>
        <w:spacing w:after="0"/>
        <w:ind w:left="426"/>
        <w:jc w:val="both"/>
        <w:rPr>
          <w:b/>
          <w:iCs/>
        </w:rPr>
      </w:pPr>
      <w:r w:rsidRPr="00B7774E">
        <w:rPr>
          <w:b/>
          <w:iCs/>
        </w:rPr>
        <w:t>Potential amendment:</w:t>
      </w:r>
    </w:p>
    <w:p w:rsidR="006F4A65" w:rsidRPr="00B7774E" w:rsidRDefault="006F4A65" w:rsidP="006F4A65">
      <w:pPr>
        <w:spacing w:after="0"/>
        <w:ind w:left="426"/>
        <w:jc w:val="both"/>
        <w:rPr>
          <w:rStyle w:val="SubtleEmphasis"/>
          <w:color w:val="auto"/>
        </w:rPr>
      </w:pPr>
      <w:r w:rsidRPr="00B7774E">
        <w:rPr>
          <w:rStyle w:val="SubtleEmphasis"/>
          <w:color w:val="auto"/>
        </w:rPr>
        <w:t>Proposal 1: Remove the requirement for injury management programs</w:t>
      </w:r>
    </w:p>
    <w:p w:rsidR="006F4A65" w:rsidRPr="00B7774E" w:rsidRDefault="006F4A65" w:rsidP="006F4A65">
      <w:pPr>
        <w:spacing w:after="140"/>
        <w:ind w:left="426"/>
        <w:jc w:val="both"/>
      </w:pPr>
      <w:r w:rsidRPr="00B7774E">
        <w:t>Removing the requirement for injury management programs from the Act will reduce regulatory red tape for employers.</w:t>
      </w:r>
    </w:p>
    <w:p w:rsidR="006F4A65" w:rsidRPr="00B7774E" w:rsidRDefault="006F4A65" w:rsidP="006F4A65">
      <w:pPr>
        <w:spacing w:after="0"/>
        <w:ind w:left="426"/>
        <w:jc w:val="both"/>
        <w:rPr>
          <w:rStyle w:val="SubtleEmphasis"/>
          <w:color w:val="auto"/>
        </w:rPr>
      </w:pPr>
      <w:r w:rsidRPr="00B7774E">
        <w:rPr>
          <w:rStyle w:val="SubtleEmphasis"/>
          <w:color w:val="auto"/>
        </w:rPr>
        <w:t>Proposal 2: Retain the requirement for injury management programs but simplify</w:t>
      </w:r>
    </w:p>
    <w:p w:rsidR="006F4A65" w:rsidRPr="00B7774E" w:rsidRDefault="006F4A65" w:rsidP="006F4A65">
      <w:pPr>
        <w:spacing w:after="140"/>
        <w:ind w:left="426"/>
        <w:jc w:val="both"/>
      </w:pPr>
      <w:r w:rsidRPr="00B7774E">
        <w:t>This option would remove unnecessary complexity from the process and could include removing the need to review programs, simplifying the requirements for injury management program contents and reducing the scope as to whom and how they are applied.</w:t>
      </w:r>
    </w:p>
    <w:p w:rsidR="006F4A65" w:rsidRPr="00B7774E" w:rsidRDefault="006F4A65" w:rsidP="006F4A65">
      <w:pPr>
        <w:spacing w:after="0"/>
        <w:ind w:left="426"/>
        <w:jc w:val="both"/>
        <w:rPr>
          <w:rStyle w:val="SubtleEmphasis"/>
          <w:color w:val="auto"/>
        </w:rPr>
      </w:pPr>
      <w:r w:rsidRPr="00B7774E">
        <w:rPr>
          <w:rStyle w:val="SubtleEmphasis"/>
          <w:color w:val="auto"/>
        </w:rPr>
        <w:t>Proposal 3: Amend the duration</w:t>
      </w:r>
    </w:p>
    <w:p w:rsidR="006F4A65" w:rsidRPr="00B7774E" w:rsidRDefault="00D458E7" w:rsidP="006F4A65">
      <w:pPr>
        <w:ind w:left="426"/>
        <w:jc w:val="both"/>
      </w:pPr>
      <w:r>
        <w:t>This</w:t>
      </w:r>
      <w:r w:rsidR="006F4A65" w:rsidRPr="00B7774E">
        <w:t xml:space="preserve"> option </w:t>
      </w:r>
      <w:r>
        <w:t>would</w:t>
      </w:r>
      <w:r w:rsidR="006F4A65" w:rsidRPr="00B7774E">
        <w:t xml:space="preserve"> extend the duration of programs and/or the length of time between reviews. For instance, the program might remain in force for six years and be reviewed every two.</w:t>
      </w:r>
      <w:r>
        <w:t xml:space="preserve"> This option </w:t>
      </w:r>
      <w:r w:rsidRPr="00B7774E">
        <w:t>could be implemented alone or in combination with Option 2</w:t>
      </w:r>
      <w:r>
        <w:t>.</w:t>
      </w:r>
    </w:p>
    <w:p w:rsidR="006F4A65" w:rsidRPr="00B7774E" w:rsidRDefault="006F4A65" w:rsidP="00C02F2D">
      <w:pPr>
        <w:pStyle w:val="Heading3"/>
      </w:pPr>
      <w:r w:rsidRPr="00B7774E">
        <w:t>Return</w:t>
      </w:r>
      <w:r w:rsidR="007628A1">
        <w:t xml:space="preserve"> </w:t>
      </w:r>
      <w:r w:rsidRPr="00B7774E">
        <w:t>to</w:t>
      </w:r>
      <w:r w:rsidR="007628A1">
        <w:t xml:space="preserve"> </w:t>
      </w:r>
      <w:r w:rsidRPr="00B7774E">
        <w:t>work and injury management plans</w:t>
      </w:r>
    </w:p>
    <w:p w:rsidR="006F4A65" w:rsidRPr="00B7774E" w:rsidRDefault="006F4A65" w:rsidP="006F4A65">
      <w:pPr>
        <w:pBdr>
          <w:bottom w:val="single" w:sz="4" w:space="1" w:color="808080" w:themeColor="background1" w:themeShade="80"/>
        </w:pBdr>
        <w:spacing w:after="140"/>
        <w:ind w:left="426"/>
        <w:jc w:val="both"/>
        <w:rPr>
          <w:b/>
          <w:iCs/>
          <w:sz w:val="20"/>
          <w:szCs w:val="20"/>
        </w:rPr>
      </w:pPr>
      <w:r w:rsidRPr="00B7774E">
        <w:rPr>
          <w:b/>
          <w:iCs/>
          <w:sz w:val="20"/>
          <w:szCs w:val="20"/>
        </w:rPr>
        <w:t>Section 143E and Regulation 24 of the Workers Rehabilitation and Compensation Regulations 2001</w:t>
      </w:r>
    </w:p>
    <w:p w:rsidR="006F4A65" w:rsidRPr="00B7774E" w:rsidRDefault="006F4A65" w:rsidP="006F4A65">
      <w:pPr>
        <w:spacing w:after="0"/>
        <w:ind w:left="426"/>
        <w:jc w:val="both"/>
        <w:rPr>
          <w:b/>
          <w:iCs/>
        </w:rPr>
      </w:pPr>
      <w:r w:rsidRPr="00B7774E">
        <w:rPr>
          <w:b/>
          <w:iCs/>
        </w:rPr>
        <w:t>Issue:</w:t>
      </w:r>
    </w:p>
    <w:p w:rsidR="006F4A65" w:rsidRPr="00B7774E" w:rsidRDefault="006F4A65" w:rsidP="006F4A65">
      <w:pPr>
        <w:ind w:left="426"/>
        <w:jc w:val="both"/>
      </w:pPr>
      <w:r w:rsidRPr="00B7774E">
        <w:rPr>
          <w:bCs/>
        </w:rPr>
        <w:t>The Act requires a return</w:t>
      </w:r>
      <w:r w:rsidR="007628A1">
        <w:rPr>
          <w:bCs/>
        </w:rPr>
        <w:t xml:space="preserve"> </w:t>
      </w:r>
      <w:r w:rsidRPr="00B7774E">
        <w:rPr>
          <w:bCs/>
        </w:rPr>
        <w:t>to</w:t>
      </w:r>
      <w:r w:rsidR="007628A1">
        <w:rPr>
          <w:bCs/>
        </w:rPr>
        <w:t xml:space="preserve"> </w:t>
      </w:r>
      <w:r w:rsidRPr="00B7774E">
        <w:rPr>
          <w:bCs/>
        </w:rPr>
        <w:t>work plan be developed if a worker is likely to be partially or totally incapacitated for a period of 5</w:t>
      </w:r>
      <w:r w:rsidR="007628A1">
        <w:rPr>
          <w:bCs/>
        </w:rPr>
        <w:t>–</w:t>
      </w:r>
      <w:r w:rsidRPr="00B7774E">
        <w:rPr>
          <w:bCs/>
        </w:rPr>
        <w:t>27 days. If the incapacity is expected to last for 28 days or longer, an injury management plan is to be prepared. These plans are to be develo</w:t>
      </w:r>
      <w:r w:rsidR="007628A1">
        <w:rPr>
          <w:bCs/>
        </w:rPr>
        <w:t>ped by the injury management co-</w:t>
      </w:r>
      <w:r w:rsidRPr="00B7774E">
        <w:rPr>
          <w:bCs/>
        </w:rPr>
        <w:t xml:space="preserve">ordinator in consultation with the worker and other specified parties. The plan is to be regularly reviewed and if either a worker or their employer refuses to consent to the plan, the matter may be taken to the </w:t>
      </w:r>
      <w:r w:rsidRPr="00B7774E">
        <w:t>Workers Rehabilitation and Compensation Tribunal.</w:t>
      </w:r>
    </w:p>
    <w:p w:rsidR="006F4A65" w:rsidRPr="00B7774E" w:rsidRDefault="006F4A65" w:rsidP="006F4A65">
      <w:pPr>
        <w:ind w:left="426"/>
        <w:jc w:val="both"/>
      </w:pPr>
      <w:r w:rsidRPr="00B7774E">
        <w:t xml:space="preserve">Regulation 24 requires </w:t>
      </w:r>
      <w:r w:rsidRPr="00B7774E">
        <w:rPr>
          <w:bCs/>
        </w:rPr>
        <w:t>return</w:t>
      </w:r>
      <w:r w:rsidR="007628A1">
        <w:rPr>
          <w:bCs/>
        </w:rPr>
        <w:t xml:space="preserve"> </w:t>
      </w:r>
      <w:r w:rsidRPr="00B7774E">
        <w:rPr>
          <w:bCs/>
        </w:rPr>
        <w:t>to</w:t>
      </w:r>
      <w:r w:rsidR="007628A1">
        <w:rPr>
          <w:bCs/>
        </w:rPr>
        <w:t xml:space="preserve"> </w:t>
      </w:r>
      <w:r w:rsidRPr="00B7774E">
        <w:rPr>
          <w:bCs/>
        </w:rPr>
        <w:t xml:space="preserve">work plans to </w:t>
      </w:r>
      <w:r w:rsidRPr="00B7774E">
        <w:t>include evidence of reasonable attempts to consult with the medical practitioner who is treating the worker.</w:t>
      </w:r>
    </w:p>
    <w:p w:rsidR="006F4A65" w:rsidRPr="00B7774E" w:rsidRDefault="006F4A65" w:rsidP="006F4A65">
      <w:pPr>
        <w:spacing w:after="0"/>
        <w:ind w:left="426"/>
        <w:jc w:val="both"/>
        <w:rPr>
          <w:b/>
          <w:iCs/>
        </w:rPr>
      </w:pPr>
      <w:r w:rsidRPr="00B7774E">
        <w:rPr>
          <w:b/>
          <w:iCs/>
        </w:rPr>
        <w:t>Potential amendment:</w:t>
      </w:r>
    </w:p>
    <w:p w:rsidR="006F4A65" w:rsidRPr="00B7774E" w:rsidRDefault="006F4A65" w:rsidP="006F4A65">
      <w:pPr>
        <w:spacing w:after="0"/>
        <w:ind w:left="426"/>
        <w:jc w:val="both"/>
        <w:rPr>
          <w:rStyle w:val="SubtleEmphasis"/>
          <w:color w:val="auto"/>
        </w:rPr>
      </w:pPr>
      <w:r w:rsidRPr="00B7774E">
        <w:rPr>
          <w:rStyle w:val="SubtleEmphasis"/>
          <w:color w:val="auto"/>
        </w:rPr>
        <w:lastRenderedPageBreak/>
        <w:t>Proposal 1: Remove the requirement for return</w:t>
      </w:r>
      <w:r w:rsidR="007628A1">
        <w:rPr>
          <w:rStyle w:val="SubtleEmphasis"/>
          <w:color w:val="auto"/>
        </w:rPr>
        <w:t xml:space="preserve"> </w:t>
      </w:r>
      <w:r w:rsidRPr="00B7774E">
        <w:rPr>
          <w:rStyle w:val="SubtleEmphasis"/>
          <w:color w:val="auto"/>
        </w:rPr>
        <w:t>to</w:t>
      </w:r>
      <w:r w:rsidR="007628A1">
        <w:rPr>
          <w:rStyle w:val="SubtleEmphasis"/>
          <w:color w:val="auto"/>
        </w:rPr>
        <w:t xml:space="preserve"> </w:t>
      </w:r>
      <w:r w:rsidRPr="00B7774E">
        <w:rPr>
          <w:rStyle w:val="SubtleEmphasis"/>
          <w:color w:val="auto"/>
        </w:rPr>
        <w:t>work and injury management plans</w:t>
      </w:r>
    </w:p>
    <w:p w:rsidR="006F4A65" w:rsidRPr="00B7774E" w:rsidRDefault="006F4A65" w:rsidP="006F4A65">
      <w:pPr>
        <w:spacing w:after="140"/>
        <w:ind w:left="426"/>
        <w:jc w:val="both"/>
      </w:pPr>
      <w:r w:rsidRPr="00B7774E">
        <w:t>Th</w:t>
      </w:r>
      <w:r w:rsidR="00D458E7">
        <w:t>is</w:t>
      </w:r>
      <w:r w:rsidRPr="00B7774E">
        <w:t xml:space="preserve"> option </w:t>
      </w:r>
      <w:r w:rsidR="00D458E7">
        <w:t xml:space="preserve">would </w:t>
      </w:r>
      <w:r w:rsidRPr="00B7774E">
        <w:t>remove the requirements for both types of plan.</w:t>
      </w:r>
    </w:p>
    <w:p w:rsidR="006F4A65" w:rsidRPr="00B7774E" w:rsidRDefault="006F4A65" w:rsidP="006F4A65">
      <w:pPr>
        <w:spacing w:after="0"/>
        <w:ind w:left="426"/>
        <w:jc w:val="both"/>
        <w:rPr>
          <w:rStyle w:val="SubtleEmphasis"/>
          <w:color w:val="auto"/>
        </w:rPr>
      </w:pPr>
      <w:r w:rsidRPr="00B7774E">
        <w:rPr>
          <w:rStyle w:val="SubtleEmphasis"/>
          <w:color w:val="auto"/>
        </w:rPr>
        <w:t xml:space="preserve">Proposal 2: Amend the timeframes </w:t>
      </w:r>
      <w:r w:rsidR="00744A2C">
        <w:rPr>
          <w:rStyle w:val="SubtleEmphasis"/>
          <w:color w:val="auto"/>
        </w:rPr>
        <w:t>for</w:t>
      </w:r>
      <w:r w:rsidRPr="00B7774E">
        <w:rPr>
          <w:rStyle w:val="SubtleEmphasis"/>
          <w:color w:val="auto"/>
        </w:rPr>
        <w:t xml:space="preserve"> return</w:t>
      </w:r>
      <w:r w:rsidR="007628A1">
        <w:rPr>
          <w:rStyle w:val="SubtleEmphasis"/>
          <w:color w:val="auto"/>
        </w:rPr>
        <w:t xml:space="preserve"> </w:t>
      </w:r>
      <w:r w:rsidRPr="00B7774E">
        <w:rPr>
          <w:rStyle w:val="SubtleEmphasis"/>
          <w:color w:val="auto"/>
        </w:rPr>
        <w:t>to</w:t>
      </w:r>
      <w:r w:rsidR="007628A1">
        <w:rPr>
          <w:rStyle w:val="SubtleEmphasis"/>
          <w:color w:val="auto"/>
        </w:rPr>
        <w:t xml:space="preserve"> </w:t>
      </w:r>
      <w:r w:rsidRPr="00B7774E">
        <w:rPr>
          <w:rStyle w:val="SubtleEmphasis"/>
          <w:color w:val="auto"/>
        </w:rPr>
        <w:t>work and injury management plans</w:t>
      </w:r>
    </w:p>
    <w:p w:rsidR="006F4A65" w:rsidRPr="00B7774E" w:rsidRDefault="006F4A65" w:rsidP="006F4A65">
      <w:pPr>
        <w:ind w:left="426"/>
        <w:jc w:val="both"/>
      </w:pPr>
      <w:r w:rsidRPr="00B7774E">
        <w:t>Th</w:t>
      </w:r>
      <w:r w:rsidR="00D458E7">
        <w:t>is</w:t>
      </w:r>
      <w:r w:rsidRPr="00B7774E">
        <w:t xml:space="preserve"> option </w:t>
      </w:r>
      <w:r w:rsidR="00D458E7">
        <w:t xml:space="preserve">would </w:t>
      </w:r>
      <w:r w:rsidRPr="00B7774E">
        <w:t>retain the requirements but change the point at which the return</w:t>
      </w:r>
      <w:r w:rsidR="007628A1">
        <w:t xml:space="preserve"> </w:t>
      </w:r>
      <w:r w:rsidRPr="00B7774E">
        <w:t>to</w:t>
      </w:r>
      <w:r w:rsidR="007628A1">
        <w:t xml:space="preserve"> </w:t>
      </w:r>
      <w:r w:rsidRPr="00B7774E">
        <w:t>work plan becomes necessary. The existing requirement for a return</w:t>
      </w:r>
      <w:r w:rsidR="007628A1">
        <w:t xml:space="preserve"> </w:t>
      </w:r>
      <w:r w:rsidRPr="00B7774E">
        <w:t>to</w:t>
      </w:r>
      <w:r w:rsidR="007628A1">
        <w:t xml:space="preserve"> </w:t>
      </w:r>
      <w:r w:rsidRPr="00B7774E">
        <w:t>work plan in instances where a worker’s incapacity may last as little as 5 days is rather onerous for a short-term injury on the minor end of the scale. A more appropriate requirement may be to require a return</w:t>
      </w:r>
      <w:r w:rsidR="007628A1">
        <w:t xml:space="preserve"> </w:t>
      </w:r>
      <w:r w:rsidRPr="00B7774E">
        <w:t>to</w:t>
      </w:r>
      <w:r w:rsidR="007628A1">
        <w:t xml:space="preserve"> </w:t>
      </w:r>
      <w:r w:rsidRPr="00B7774E">
        <w:t>work plan where the incapacity is anticipated to last for 14</w:t>
      </w:r>
      <w:r w:rsidR="007628A1">
        <w:t>–</w:t>
      </w:r>
      <w:r w:rsidRPr="00B7774E">
        <w:t>27 days. This option would still allow for early intervention and ensure communication between the parties but places the focus on more complex injuries.</w:t>
      </w:r>
    </w:p>
    <w:p w:rsidR="006F4A65" w:rsidRPr="00B7774E" w:rsidRDefault="006F4A65" w:rsidP="006F4A65">
      <w:pPr>
        <w:spacing w:after="0"/>
        <w:ind w:left="426"/>
        <w:jc w:val="both"/>
        <w:rPr>
          <w:rStyle w:val="SubtleEmphasis"/>
          <w:color w:val="auto"/>
        </w:rPr>
      </w:pPr>
      <w:r w:rsidRPr="00B7774E">
        <w:rPr>
          <w:rStyle w:val="SubtleEmphasis"/>
          <w:color w:val="auto"/>
        </w:rPr>
        <w:t>Proposal 3: Remove provision</w:t>
      </w:r>
    </w:p>
    <w:p w:rsidR="006F4A65" w:rsidRPr="00B7774E" w:rsidRDefault="006F4A65" w:rsidP="006F4A65">
      <w:pPr>
        <w:ind w:left="426"/>
        <w:jc w:val="both"/>
      </w:pPr>
      <w:r w:rsidRPr="00B7774E">
        <w:t>Th</w:t>
      </w:r>
      <w:r w:rsidR="00D458E7">
        <w:t>is</w:t>
      </w:r>
      <w:r w:rsidRPr="00B7774E">
        <w:t xml:space="preserve"> option </w:t>
      </w:r>
      <w:r w:rsidR="00D458E7">
        <w:t>would</w:t>
      </w:r>
      <w:r w:rsidRPr="00B7774E">
        <w:t xml:space="preserve"> remove the provision from the legislation and make it a requirement under the insurers’ injury management program.</w:t>
      </w:r>
    </w:p>
    <w:p w:rsidR="006F4A65" w:rsidRPr="00B7774E" w:rsidRDefault="006F4A65" w:rsidP="00C02F2D">
      <w:pPr>
        <w:pStyle w:val="Heading3"/>
      </w:pPr>
      <w:r w:rsidRPr="00B7774E">
        <w:t>Requirement for employers to give notice to advise the right to claim</w:t>
      </w:r>
    </w:p>
    <w:p w:rsidR="006F4A65" w:rsidRPr="00B7774E" w:rsidRDefault="006F4A65" w:rsidP="006F4A65">
      <w:pPr>
        <w:pBdr>
          <w:bottom w:val="single" w:sz="4" w:space="1" w:color="808080" w:themeColor="background1" w:themeShade="80"/>
        </w:pBdr>
        <w:spacing w:after="140"/>
        <w:ind w:left="426"/>
        <w:jc w:val="both"/>
        <w:rPr>
          <w:b/>
          <w:iCs/>
          <w:sz w:val="20"/>
          <w:szCs w:val="20"/>
        </w:rPr>
      </w:pPr>
      <w:r w:rsidRPr="00B7774E">
        <w:rPr>
          <w:b/>
          <w:iCs/>
          <w:sz w:val="20"/>
          <w:szCs w:val="20"/>
        </w:rPr>
        <w:t>Section 33A</w:t>
      </w:r>
    </w:p>
    <w:p w:rsidR="006F4A65" w:rsidRPr="00B7774E" w:rsidRDefault="006F4A65" w:rsidP="006F4A65">
      <w:pPr>
        <w:spacing w:after="0"/>
        <w:ind w:left="426"/>
        <w:jc w:val="both"/>
        <w:rPr>
          <w:b/>
          <w:iCs/>
        </w:rPr>
      </w:pPr>
      <w:r w:rsidRPr="00B7774E">
        <w:rPr>
          <w:b/>
          <w:iCs/>
        </w:rPr>
        <w:t>Issue:</w:t>
      </w:r>
    </w:p>
    <w:p w:rsidR="006F4A65" w:rsidRPr="00B7774E" w:rsidRDefault="006F4A65" w:rsidP="006F4A65">
      <w:pPr>
        <w:ind w:left="426"/>
        <w:jc w:val="both"/>
      </w:pPr>
      <w:r w:rsidRPr="00B7774E">
        <w:rPr>
          <w:bCs/>
        </w:rPr>
        <w:t>The Act currently requires a</w:t>
      </w:r>
      <w:r w:rsidRPr="00B7774E">
        <w:t xml:space="preserve">n employer who has been informed of a worker’s injury to serve a written notice on the worker within 14 days advising of their right to claim (unless the employer has been served with a claim for compensation). </w:t>
      </w:r>
    </w:p>
    <w:p w:rsidR="006F4A65" w:rsidRPr="00B7774E" w:rsidRDefault="006F4A65" w:rsidP="006F4A65">
      <w:pPr>
        <w:spacing w:after="0"/>
        <w:ind w:left="426"/>
        <w:jc w:val="both"/>
        <w:rPr>
          <w:b/>
          <w:iCs/>
        </w:rPr>
      </w:pPr>
      <w:r w:rsidRPr="00B7774E">
        <w:rPr>
          <w:b/>
          <w:iCs/>
        </w:rPr>
        <w:t>Potential amendment:</w:t>
      </w:r>
    </w:p>
    <w:p w:rsidR="006F4A65" w:rsidRPr="00B7774E" w:rsidRDefault="006F4A65" w:rsidP="006F4A65">
      <w:pPr>
        <w:spacing w:after="0"/>
        <w:ind w:left="426"/>
        <w:jc w:val="both"/>
        <w:rPr>
          <w:rStyle w:val="SubtleEmphasis"/>
          <w:color w:val="auto"/>
        </w:rPr>
      </w:pPr>
      <w:r w:rsidRPr="00B7774E">
        <w:rPr>
          <w:rStyle w:val="SubtleEmphasis"/>
          <w:color w:val="auto"/>
        </w:rPr>
        <w:t>Proposal 1: Remove requirement</w:t>
      </w:r>
    </w:p>
    <w:p w:rsidR="006F4A65" w:rsidRPr="00B7774E" w:rsidRDefault="006F4A65" w:rsidP="006F4A65">
      <w:pPr>
        <w:ind w:left="426"/>
        <w:jc w:val="both"/>
      </w:pPr>
      <w:r w:rsidRPr="00B7774E">
        <w:t>Remove th</w:t>
      </w:r>
      <w:r w:rsidR="00EE4AB4">
        <w:t>is</w:t>
      </w:r>
      <w:r w:rsidRPr="00B7774E">
        <w:t xml:space="preserve"> requirement from the Ac</w:t>
      </w:r>
      <w:r w:rsidR="00D458E7">
        <w:t>t</w:t>
      </w:r>
      <w:r w:rsidRPr="00B7774E">
        <w:t>.</w:t>
      </w:r>
    </w:p>
    <w:p w:rsidR="006F4A65" w:rsidRPr="00B7774E" w:rsidRDefault="006F4A65" w:rsidP="006F4A65">
      <w:pPr>
        <w:spacing w:after="0"/>
        <w:ind w:left="426"/>
        <w:jc w:val="both"/>
        <w:rPr>
          <w:rStyle w:val="SubtleEmphasis"/>
          <w:color w:val="auto"/>
        </w:rPr>
      </w:pPr>
      <w:r w:rsidRPr="00B7774E">
        <w:rPr>
          <w:rStyle w:val="SubtleEmphasis"/>
          <w:color w:val="auto"/>
        </w:rPr>
        <w:t>Proposal 2: Amend the wording to link the requirement to section 33</w:t>
      </w:r>
    </w:p>
    <w:p w:rsidR="006F4A65" w:rsidRPr="00B7774E" w:rsidRDefault="006F4A65" w:rsidP="006F4A65">
      <w:pPr>
        <w:ind w:left="426"/>
        <w:jc w:val="both"/>
      </w:pPr>
      <w:r w:rsidRPr="00B7774E">
        <w:rPr>
          <w:lang w:val="en-US"/>
        </w:rPr>
        <w:t xml:space="preserve">If the requirement </w:t>
      </w:r>
      <w:proofErr w:type="gramStart"/>
      <w:r w:rsidRPr="00B7774E">
        <w:rPr>
          <w:lang w:val="en-US"/>
        </w:rPr>
        <w:t>is retained</w:t>
      </w:r>
      <w:proofErr w:type="gramEnd"/>
      <w:r w:rsidRPr="00B7774E">
        <w:rPr>
          <w:lang w:val="en-US"/>
        </w:rPr>
        <w:t xml:space="preserve">, amend the wording to read </w:t>
      </w:r>
      <w:r w:rsidR="00AD25C9">
        <w:rPr>
          <w:i/>
          <w:lang w:val="en-US"/>
        </w:rPr>
        <w:t>‘</w:t>
      </w:r>
      <w:r w:rsidRPr="00B7774E">
        <w:rPr>
          <w:i/>
          <w:lang w:val="en-US"/>
        </w:rPr>
        <w:t xml:space="preserve">An employer who has been </w:t>
      </w:r>
      <w:r w:rsidRPr="00B7774E">
        <w:rPr>
          <w:b/>
          <w:i/>
          <w:lang w:val="en-US"/>
        </w:rPr>
        <w:t>given notice</w:t>
      </w:r>
      <w:r w:rsidRPr="00B7774E">
        <w:rPr>
          <w:i/>
          <w:lang w:val="en-US"/>
        </w:rPr>
        <w:t xml:space="preserve"> </w:t>
      </w:r>
      <w:r w:rsidRPr="00B7774E">
        <w:rPr>
          <w:b/>
          <w:i/>
          <w:lang w:val="en-US"/>
        </w:rPr>
        <w:t>of</w:t>
      </w:r>
      <w:r w:rsidRPr="00B7774E">
        <w:rPr>
          <w:i/>
          <w:lang w:val="en-US"/>
        </w:rPr>
        <w:t xml:space="preserve"> an injury</w:t>
      </w:r>
      <w:r w:rsidR="00AD25C9">
        <w:rPr>
          <w:i/>
          <w:lang w:val="en-US"/>
        </w:rPr>
        <w:t>…’</w:t>
      </w:r>
      <w:r w:rsidRPr="00B7774E">
        <w:rPr>
          <w:i/>
          <w:lang w:val="en-US"/>
        </w:rPr>
        <w:t xml:space="preserve"> </w:t>
      </w:r>
      <w:r w:rsidRPr="00B7774E">
        <w:rPr>
          <w:lang w:val="en-US"/>
        </w:rPr>
        <w:t>(</w:t>
      </w:r>
      <w:proofErr w:type="gramStart"/>
      <w:r w:rsidRPr="00B7774E">
        <w:rPr>
          <w:lang w:val="en-US"/>
        </w:rPr>
        <w:t>replacing</w:t>
      </w:r>
      <w:proofErr w:type="gramEnd"/>
      <w:r w:rsidRPr="00B7774E">
        <w:rPr>
          <w:lang w:val="en-US"/>
        </w:rPr>
        <w:t xml:space="preserve"> </w:t>
      </w:r>
      <w:r w:rsidR="00AD25C9">
        <w:rPr>
          <w:lang w:val="en-US"/>
        </w:rPr>
        <w:t>‘</w:t>
      </w:r>
      <w:r w:rsidRPr="00B7774E">
        <w:rPr>
          <w:lang w:val="en-US"/>
        </w:rPr>
        <w:t>informed of</w:t>
      </w:r>
      <w:r w:rsidR="00AD25C9">
        <w:rPr>
          <w:lang w:val="en-US"/>
        </w:rPr>
        <w:t>’</w:t>
      </w:r>
      <w:r w:rsidRPr="00B7774E">
        <w:rPr>
          <w:lang w:val="en-US"/>
        </w:rPr>
        <w:t xml:space="preserve">). This </w:t>
      </w:r>
      <w:r w:rsidR="00D458E7">
        <w:rPr>
          <w:lang w:val="en-US"/>
        </w:rPr>
        <w:t>would</w:t>
      </w:r>
      <w:r w:rsidRPr="00B7774E">
        <w:rPr>
          <w:lang w:val="en-US"/>
        </w:rPr>
        <w:t xml:space="preserve"> link the requirement more clearly with section 33 (notice of injury).</w:t>
      </w:r>
    </w:p>
    <w:p w:rsidR="00961E0A" w:rsidRPr="00B7774E" w:rsidRDefault="00961E0A" w:rsidP="00C02F2D">
      <w:pPr>
        <w:pStyle w:val="Heading3"/>
      </w:pPr>
      <w:r w:rsidRPr="00B7774E">
        <w:t>Requirement for the employer to notify their insurer of injury</w:t>
      </w:r>
    </w:p>
    <w:p w:rsidR="00961E0A" w:rsidRPr="00B7774E" w:rsidRDefault="00961E0A" w:rsidP="00961E0A">
      <w:pPr>
        <w:pBdr>
          <w:bottom w:val="single" w:sz="4" w:space="1" w:color="808080" w:themeColor="background1" w:themeShade="80"/>
        </w:pBdr>
        <w:spacing w:after="140"/>
        <w:ind w:left="426"/>
        <w:jc w:val="both"/>
        <w:rPr>
          <w:b/>
          <w:iCs/>
          <w:sz w:val="20"/>
          <w:szCs w:val="20"/>
        </w:rPr>
      </w:pPr>
      <w:r w:rsidRPr="00B7774E">
        <w:rPr>
          <w:b/>
          <w:iCs/>
          <w:sz w:val="20"/>
          <w:szCs w:val="20"/>
        </w:rPr>
        <w:t>Section 143A</w:t>
      </w:r>
    </w:p>
    <w:p w:rsidR="00961E0A" w:rsidRPr="00B7774E" w:rsidRDefault="00961E0A" w:rsidP="00961E0A">
      <w:pPr>
        <w:spacing w:after="0"/>
        <w:ind w:left="426"/>
        <w:jc w:val="both"/>
        <w:rPr>
          <w:b/>
          <w:iCs/>
        </w:rPr>
      </w:pPr>
      <w:r w:rsidRPr="00B7774E">
        <w:rPr>
          <w:b/>
          <w:iCs/>
        </w:rPr>
        <w:t>Issue:</w:t>
      </w:r>
    </w:p>
    <w:p w:rsidR="00961E0A" w:rsidRPr="00B7774E" w:rsidRDefault="00961E0A" w:rsidP="00961E0A">
      <w:pPr>
        <w:ind w:left="426"/>
        <w:jc w:val="both"/>
      </w:pPr>
      <w:r w:rsidRPr="00B7774E">
        <w:rPr>
          <w:bCs/>
        </w:rPr>
        <w:t xml:space="preserve">This section of the Act requires employers to give their insurer notification of any workplace injury that may result in a level of incapacity for work or that is required to be notified under their </w:t>
      </w:r>
      <w:r w:rsidRPr="00B7774E">
        <w:t xml:space="preserve">injury management program. This must be done within three days of the employer becoming aware of the injury. </w:t>
      </w:r>
    </w:p>
    <w:p w:rsidR="00961E0A" w:rsidRPr="00B7774E" w:rsidRDefault="00961E0A" w:rsidP="00961E0A">
      <w:pPr>
        <w:ind w:left="426"/>
        <w:jc w:val="both"/>
        <w:rPr>
          <w:lang w:val="en-US"/>
        </w:rPr>
      </w:pPr>
      <w:r w:rsidRPr="00B7774E">
        <w:rPr>
          <w:lang w:val="en-US"/>
        </w:rPr>
        <w:t xml:space="preserve">This provision contains a drafting error as it refers to </w:t>
      </w:r>
      <w:r w:rsidR="00AD25C9">
        <w:rPr>
          <w:lang w:val="en-US"/>
        </w:rPr>
        <w:t>‘</w:t>
      </w:r>
      <w:proofErr w:type="gramStart"/>
      <w:r w:rsidRPr="00B7774E">
        <w:rPr>
          <w:i/>
          <w:lang w:val="en-US"/>
        </w:rPr>
        <w:t>worker’s</w:t>
      </w:r>
      <w:proofErr w:type="gramEnd"/>
      <w:r w:rsidRPr="00B7774E">
        <w:rPr>
          <w:lang w:val="en-US"/>
        </w:rPr>
        <w:t xml:space="preserve"> approved injury management program</w:t>
      </w:r>
      <w:r w:rsidR="00AD25C9">
        <w:rPr>
          <w:lang w:val="en-US"/>
        </w:rPr>
        <w:t>’</w:t>
      </w:r>
      <w:r w:rsidRPr="00B7774E">
        <w:rPr>
          <w:lang w:val="en-US"/>
        </w:rPr>
        <w:t xml:space="preserve"> rather than </w:t>
      </w:r>
      <w:r w:rsidR="00AD25C9">
        <w:rPr>
          <w:lang w:val="en-US"/>
        </w:rPr>
        <w:t>‘</w:t>
      </w:r>
      <w:r w:rsidRPr="00B7774E">
        <w:rPr>
          <w:i/>
          <w:lang w:val="en-US"/>
        </w:rPr>
        <w:t>employer’s</w:t>
      </w:r>
      <w:r w:rsidRPr="00B7774E">
        <w:rPr>
          <w:lang w:val="en-US"/>
        </w:rPr>
        <w:t xml:space="preserve"> approved injury management program</w:t>
      </w:r>
      <w:r w:rsidR="00AD25C9">
        <w:rPr>
          <w:lang w:val="en-US"/>
        </w:rPr>
        <w:t>’</w:t>
      </w:r>
      <w:r w:rsidRPr="00B7774E">
        <w:rPr>
          <w:lang w:val="en-US"/>
        </w:rPr>
        <w:t xml:space="preserve"> as intended. </w:t>
      </w:r>
    </w:p>
    <w:p w:rsidR="00961E0A" w:rsidRPr="00B7774E" w:rsidRDefault="00961E0A" w:rsidP="00961E0A">
      <w:pPr>
        <w:ind w:left="426"/>
        <w:jc w:val="both"/>
      </w:pPr>
      <w:r w:rsidRPr="00B7774E">
        <w:rPr>
          <w:lang w:val="en-US"/>
        </w:rPr>
        <w:lastRenderedPageBreak/>
        <w:t>Further, t</w:t>
      </w:r>
      <w:r w:rsidRPr="00B7774E">
        <w:t>here is limited evidence that this type of notification assists insurers or has improved outcomes.</w:t>
      </w:r>
    </w:p>
    <w:p w:rsidR="00961E0A" w:rsidRPr="00B7774E" w:rsidRDefault="00961E0A" w:rsidP="00961E0A">
      <w:pPr>
        <w:spacing w:after="0"/>
        <w:ind w:left="426"/>
        <w:jc w:val="both"/>
        <w:rPr>
          <w:b/>
          <w:iCs/>
        </w:rPr>
      </w:pPr>
      <w:r w:rsidRPr="00B7774E">
        <w:rPr>
          <w:b/>
          <w:iCs/>
        </w:rPr>
        <w:t>Potential amendment:</w:t>
      </w:r>
    </w:p>
    <w:p w:rsidR="00961E0A" w:rsidRPr="00B7774E" w:rsidRDefault="00961E0A" w:rsidP="00961E0A">
      <w:pPr>
        <w:spacing w:after="0"/>
        <w:ind w:left="426"/>
        <w:jc w:val="both"/>
        <w:rPr>
          <w:rStyle w:val="SubtleEmphasis"/>
          <w:color w:val="auto"/>
        </w:rPr>
      </w:pPr>
      <w:r w:rsidRPr="00B7774E">
        <w:rPr>
          <w:rStyle w:val="SubtleEmphasis"/>
          <w:color w:val="auto"/>
        </w:rPr>
        <w:t>Proposal 1: Remove requirement</w:t>
      </w:r>
    </w:p>
    <w:p w:rsidR="00961E0A" w:rsidRPr="00B7774E" w:rsidRDefault="00961E0A" w:rsidP="00961E0A">
      <w:pPr>
        <w:ind w:left="426"/>
        <w:jc w:val="both"/>
        <w:rPr>
          <w:lang w:val="en-US"/>
        </w:rPr>
      </w:pPr>
      <w:r w:rsidRPr="00B7774E">
        <w:t>Remove th</w:t>
      </w:r>
      <w:r w:rsidR="00EE4AB4">
        <w:t>is</w:t>
      </w:r>
      <w:r w:rsidRPr="00B7774E">
        <w:t xml:space="preserve"> requirement from the Act.</w:t>
      </w:r>
      <w:r w:rsidRPr="00B7774E">
        <w:rPr>
          <w:lang w:val="en-US"/>
        </w:rPr>
        <w:t xml:space="preserve"> </w:t>
      </w:r>
    </w:p>
    <w:p w:rsidR="00961E0A" w:rsidRPr="00B7774E" w:rsidRDefault="00961E0A" w:rsidP="00961E0A">
      <w:pPr>
        <w:spacing w:after="0"/>
        <w:ind w:left="426"/>
        <w:jc w:val="both"/>
        <w:rPr>
          <w:rStyle w:val="SubtleEmphasis"/>
          <w:color w:val="auto"/>
        </w:rPr>
      </w:pPr>
      <w:r w:rsidRPr="00B7774E">
        <w:rPr>
          <w:rStyle w:val="SubtleEmphasis"/>
          <w:color w:val="auto"/>
        </w:rPr>
        <w:t>Proposal 2: Amend the wording</w:t>
      </w:r>
    </w:p>
    <w:p w:rsidR="00961E0A" w:rsidRPr="00B7774E" w:rsidRDefault="00961E0A" w:rsidP="00961E0A">
      <w:pPr>
        <w:ind w:left="426"/>
        <w:jc w:val="both"/>
      </w:pPr>
      <w:r w:rsidRPr="00B7774E">
        <w:t xml:space="preserve">Amend </w:t>
      </w:r>
      <w:r w:rsidR="00AD25C9">
        <w:t>‘</w:t>
      </w:r>
      <w:r w:rsidRPr="00B7774E">
        <w:t>worker’s approved injury management program</w:t>
      </w:r>
      <w:r w:rsidR="00AD25C9">
        <w:t>’</w:t>
      </w:r>
      <w:r w:rsidRPr="00B7774E">
        <w:t xml:space="preserve"> to read </w:t>
      </w:r>
      <w:r w:rsidR="00AD25C9">
        <w:t>‘</w:t>
      </w:r>
      <w:r w:rsidRPr="00B7774E">
        <w:t>employer’s approved injury management program</w:t>
      </w:r>
      <w:r w:rsidR="00AD25C9">
        <w:t>’</w:t>
      </w:r>
      <w:r w:rsidRPr="00B7774E">
        <w:t>.</w:t>
      </w:r>
    </w:p>
    <w:p w:rsidR="00961E0A" w:rsidRPr="00B7774E" w:rsidRDefault="00961E0A" w:rsidP="00C02F2D">
      <w:pPr>
        <w:pStyle w:val="Heading3"/>
      </w:pPr>
      <w:r w:rsidRPr="00B7774E">
        <w:t>Workers’ obligations when changing primary treating medical practitioners</w:t>
      </w:r>
    </w:p>
    <w:p w:rsidR="00961E0A" w:rsidRPr="00B7774E" w:rsidRDefault="00961E0A" w:rsidP="00961E0A">
      <w:pPr>
        <w:pBdr>
          <w:bottom w:val="single" w:sz="4" w:space="1" w:color="808080" w:themeColor="background1" w:themeShade="80"/>
        </w:pBdr>
        <w:spacing w:after="140"/>
        <w:ind w:left="426"/>
        <w:jc w:val="both"/>
        <w:rPr>
          <w:b/>
          <w:iCs/>
          <w:sz w:val="20"/>
          <w:szCs w:val="20"/>
        </w:rPr>
      </w:pPr>
      <w:r w:rsidRPr="00B7774E">
        <w:rPr>
          <w:b/>
          <w:iCs/>
          <w:sz w:val="20"/>
          <w:szCs w:val="20"/>
        </w:rPr>
        <w:t>Sections 143(G</w:t>
      </w:r>
      <w:proofErr w:type="gramStart"/>
      <w:r w:rsidRPr="00B7774E">
        <w:rPr>
          <w:b/>
          <w:iCs/>
          <w:sz w:val="20"/>
          <w:szCs w:val="20"/>
        </w:rPr>
        <w:t>)(</w:t>
      </w:r>
      <w:proofErr w:type="gramEnd"/>
      <w:r w:rsidRPr="00B7774E">
        <w:rPr>
          <w:b/>
          <w:iCs/>
          <w:sz w:val="20"/>
          <w:szCs w:val="20"/>
        </w:rPr>
        <w:t>1), 143(G)(3) and 143(G)(5)</w:t>
      </w:r>
    </w:p>
    <w:p w:rsidR="00961E0A" w:rsidRPr="00B7774E" w:rsidRDefault="00961E0A" w:rsidP="00961E0A">
      <w:pPr>
        <w:spacing w:after="0"/>
        <w:ind w:left="426"/>
        <w:jc w:val="both"/>
        <w:rPr>
          <w:b/>
          <w:iCs/>
        </w:rPr>
      </w:pPr>
      <w:r w:rsidRPr="00B7774E">
        <w:rPr>
          <w:b/>
          <w:iCs/>
        </w:rPr>
        <w:t>Issue:</w:t>
      </w:r>
    </w:p>
    <w:p w:rsidR="00961E0A" w:rsidRPr="00B7774E" w:rsidRDefault="00961E0A" w:rsidP="00961E0A">
      <w:pPr>
        <w:ind w:left="426"/>
        <w:jc w:val="both"/>
      </w:pPr>
      <w:r w:rsidRPr="00B7774E">
        <w:t>Injured workers are required to notify their employer of the name of their primary treating medical practitioner as soon as practicable after suffering a workplace injury. The Act also requires the worker to advise their employer if they decide to replace that practitioner with another primary treating medical practitioner. In addition, the worker must authorise the initial practitioner to release relevant records to their replacement. If an injured worker does not comply with any of these requirements, the employer or insurer may notify the Workers Rehabilitation and Compensation Tribunal about the matter.</w:t>
      </w:r>
    </w:p>
    <w:p w:rsidR="00961E0A" w:rsidRPr="00B7774E" w:rsidRDefault="00961E0A" w:rsidP="00961E0A">
      <w:pPr>
        <w:spacing w:after="0"/>
        <w:ind w:left="426"/>
        <w:jc w:val="both"/>
        <w:rPr>
          <w:b/>
          <w:iCs/>
        </w:rPr>
      </w:pPr>
      <w:r w:rsidRPr="00B7774E">
        <w:rPr>
          <w:b/>
          <w:iCs/>
        </w:rPr>
        <w:t>Potential amendment:</w:t>
      </w:r>
    </w:p>
    <w:p w:rsidR="00961E0A" w:rsidRPr="00B7774E" w:rsidRDefault="00961E0A" w:rsidP="00961E0A">
      <w:pPr>
        <w:spacing w:after="0"/>
        <w:ind w:left="426"/>
        <w:jc w:val="both"/>
        <w:rPr>
          <w:rStyle w:val="SubtleEmphasis"/>
          <w:color w:val="auto"/>
        </w:rPr>
      </w:pPr>
      <w:r w:rsidRPr="00B7774E">
        <w:rPr>
          <w:rStyle w:val="SubtleEmphasis"/>
          <w:color w:val="auto"/>
        </w:rPr>
        <w:t>Proposal 1: Remove all obligations associated with a primary treating medical practitioner</w:t>
      </w:r>
    </w:p>
    <w:p w:rsidR="00961E0A" w:rsidRPr="00B7774E" w:rsidRDefault="00DE700E" w:rsidP="00961E0A">
      <w:pPr>
        <w:spacing w:after="140"/>
        <w:ind w:left="426"/>
        <w:jc w:val="both"/>
      </w:pPr>
      <w:r>
        <w:t xml:space="preserve">This </w:t>
      </w:r>
      <w:r w:rsidR="00961E0A" w:rsidRPr="00B7774E">
        <w:t>would simplify processes for workers, employers and medical practitioners.</w:t>
      </w:r>
    </w:p>
    <w:p w:rsidR="00961E0A" w:rsidRPr="00B7774E" w:rsidRDefault="00961E0A" w:rsidP="00961E0A">
      <w:pPr>
        <w:spacing w:after="0"/>
        <w:ind w:left="426"/>
        <w:jc w:val="both"/>
        <w:rPr>
          <w:rStyle w:val="SubtleEmphasis"/>
          <w:color w:val="auto"/>
        </w:rPr>
      </w:pPr>
      <w:r w:rsidRPr="00B7774E">
        <w:rPr>
          <w:rStyle w:val="SubtleEmphasis"/>
          <w:color w:val="auto"/>
        </w:rPr>
        <w:t>Proposal 2: Modify the requirements associated with a primary treating medical practitioner</w:t>
      </w:r>
    </w:p>
    <w:p w:rsidR="00961E0A" w:rsidRPr="00B7774E" w:rsidRDefault="00961E0A" w:rsidP="00961E0A">
      <w:pPr>
        <w:ind w:left="426"/>
        <w:jc w:val="both"/>
        <w:rPr>
          <w:rStyle w:val="Strong"/>
        </w:rPr>
      </w:pPr>
      <w:r w:rsidRPr="00B7774E">
        <w:t>This option involves modifying the requirements to allow the injured worker to have a primary treating medical practitioner if they so choose, but without the legal obligation to provide their details to their employer.</w:t>
      </w:r>
    </w:p>
    <w:p w:rsidR="00F52848" w:rsidRPr="00B7774E" w:rsidRDefault="00F52848" w:rsidP="00C02F2D">
      <w:pPr>
        <w:pStyle w:val="Heading3"/>
      </w:pPr>
      <w:r w:rsidRPr="00B7774E">
        <w:t>Examination of the need for a claim excess</w:t>
      </w:r>
    </w:p>
    <w:p w:rsidR="00F52848" w:rsidRPr="00B7774E" w:rsidRDefault="00F52848" w:rsidP="00F52848">
      <w:pPr>
        <w:pBdr>
          <w:bottom w:val="single" w:sz="4" w:space="1" w:color="808080" w:themeColor="background1" w:themeShade="80"/>
        </w:pBdr>
        <w:spacing w:after="140"/>
        <w:ind w:left="426"/>
        <w:jc w:val="both"/>
        <w:rPr>
          <w:b/>
          <w:iCs/>
          <w:sz w:val="20"/>
          <w:szCs w:val="20"/>
        </w:rPr>
      </w:pPr>
      <w:r w:rsidRPr="00B7774E">
        <w:rPr>
          <w:b/>
          <w:iCs/>
          <w:sz w:val="20"/>
          <w:szCs w:val="20"/>
        </w:rPr>
        <w:t>Section 97(1)</w:t>
      </w:r>
    </w:p>
    <w:p w:rsidR="00F52848" w:rsidRPr="00B7774E" w:rsidRDefault="00F52848" w:rsidP="00F52848">
      <w:pPr>
        <w:spacing w:after="0"/>
        <w:ind w:left="426"/>
        <w:jc w:val="both"/>
        <w:rPr>
          <w:b/>
          <w:iCs/>
        </w:rPr>
      </w:pPr>
      <w:r w:rsidRPr="00B7774E">
        <w:rPr>
          <w:b/>
          <w:iCs/>
        </w:rPr>
        <w:t>Issue:</w:t>
      </w:r>
    </w:p>
    <w:p w:rsidR="00F52848" w:rsidRPr="00B7774E" w:rsidRDefault="00F52848" w:rsidP="00F52848">
      <w:pPr>
        <w:ind w:left="426"/>
        <w:jc w:val="both"/>
        <w:rPr>
          <w:bCs/>
          <w:iCs/>
        </w:rPr>
      </w:pPr>
      <w:r w:rsidRPr="00B7774E">
        <w:rPr>
          <w:bCs/>
          <w:iCs/>
        </w:rPr>
        <w:t xml:space="preserve">This section of the Act provides for an insurance claim excess </w:t>
      </w:r>
      <w:r w:rsidR="00744A2C">
        <w:rPr>
          <w:bCs/>
          <w:iCs/>
        </w:rPr>
        <w:t>for</w:t>
      </w:r>
      <w:r w:rsidRPr="00B7774E">
        <w:rPr>
          <w:bCs/>
          <w:iCs/>
        </w:rPr>
        <w:t xml:space="preserve"> compensation. It prevents employers from insuring against liability for the first weekly compensation payment that is payable and the first $200 of any other benefits payable under the Act </w:t>
      </w:r>
      <w:r w:rsidR="00DE700E">
        <w:rPr>
          <w:bCs/>
          <w:iCs/>
        </w:rPr>
        <w:t>for</w:t>
      </w:r>
      <w:r w:rsidRPr="00B7774E">
        <w:rPr>
          <w:bCs/>
          <w:iCs/>
        </w:rPr>
        <w:t xml:space="preserve"> an injury. Two options have been proposed:</w:t>
      </w:r>
    </w:p>
    <w:p w:rsidR="00F52848" w:rsidRPr="00B7774E" w:rsidRDefault="00F52848" w:rsidP="00F52848">
      <w:pPr>
        <w:spacing w:after="0"/>
        <w:ind w:left="426"/>
        <w:jc w:val="both"/>
        <w:rPr>
          <w:b/>
          <w:iCs/>
        </w:rPr>
      </w:pPr>
      <w:r w:rsidRPr="00B7774E">
        <w:rPr>
          <w:b/>
          <w:iCs/>
        </w:rPr>
        <w:t>Potential amendment:</w:t>
      </w:r>
    </w:p>
    <w:p w:rsidR="00F52848" w:rsidRPr="00B7774E" w:rsidRDefault="00F52848" w:rsidP="00F52848">
      <w:pPr>
        <w:spacing w:after="0"/>
        <w:ind w:left="426"/>
        <w:jc w:val="both"/>
        <w:rPr>
          <w:rStyle w:val="SubtleEmphasis"/>
          <w:color w:val="auto"/>
        </w:rPr>
      </w:pPr>
      <w:r w:rsidRPr="00B7774E">
        <w:rPr>
          <w:rStyle w:val="SubtleEmphasis"/>
          <w:color w:val="auto"/>
        </w:rPr>
        <w:t>Proposal 1: Remove excess</w:t>
      </w:r>
    </w:p>
    <w:p w:rsidR="00F52848" w:rsidRPr="00B7774E" w:rsidRDefault="00F52848" w:rsidP="00F52848">
      <w:pPr>
        <w:spacing w:after="140"/>
        <w:ind w:left="426"/>
        <w:jc w:val="both"/>
        <w:rPr>
          <w:bCs/>
          <w:iCs/>
        </w:rPr>
      </w:pPr>
      <w:r w:rsidRPr="00B7774E">
        <w:t>Remove</w:t>
      </w:r>
      <w:r w:rsidRPr="00B7774E">
        <w:rPr>
          <w:bCs/>
          <w:iCs/>
        </w:rPr>
        <w:t xml:space="preserve"> the excess.</w:t>
      </w:r>
    </w:p>
    <w:p w:rsidR="00F52848" w:rsidRPr="00B7774E" w:rsidRDefault="00F52848" w:rsidP="00F52848">
      <w:pPr>
        <w:spacing w:after="0"/>
        <w:ind w:left="426"/>
        <w:jc w:val="both"/>
        <w:rPr>
          <w:rStyle w:val="SubtleEmphasis"/>
          <w:color w:val="auto"/>
        </w:rPr>
      </w:pPr>
      <w:r w:rsidRPr="00B7774E">
        <w:rPr>
          <w:rStyle w:val="SubtleEmphasis"/>
          <w:color w:val="auto"/>
        </w:rPr>
        <w:t>Proposal 2: Increase the excess to a more appropriate level</w:t>
      </w:r>
    </w:p>
    <w:p w:rsidR="00F52848" w:rsidRPr="00B7774E" w:rsidRDefault="00F52848" w:rsidP="00F52848">
      <w:pPr>
        <w:ind w:left="426"/>
        <w:jc w:val="both"/>
        <w:rPr>
          <w:bCs/>
          <w:iCs/>
        </w:rPr>
      </w:pPr>
      <w:r w:rsidRPr="00B7774E">
        <w:rPr>
          <w:bCs/>
          <w:iCs/>
        </w:rPr>
        <w:lastRenderedPageBreak/>
        <w:t>Increasing the excess would also simplify the process</w:t>
      </w:r>
      <w:r w:rsidR="00EE4AB4">
        <w:rPr>
          <w:bCs/>
          <w:iCs/>
        </w:rPr>
        <w:t>,</w:t>
      </w:r>
      <w:r w:rsidRPr="00B7774E">
        <w:rPr>
          <w:bCs/>
          <w:iCs/>
        </w:rPr>
        <w:t xml:space="preserve"> as employers would deal with any small claims, and overall costs to the scheme would be reduced. An excess of around $500 is being considered.</w:t>
      </w:r>
    </w:p>
    <w:p w:rsidR="00F52848" w:rsidRPr="00B7774E" w:rsidRDefault="00F52848" w:rsidP="00F52848">
      <w:pPr>
        <w:ind w:left="426"/>
        <w:jc w:val="both"/>
        <w:rPr>
          <w:bCs/>
          <w:iCs/>
        </w:rPr>
      </w:pPr>
      <w:r w:rsidRPr="00B7774E">
        <w:rPr>
          <w:bCs/>
          <w:iCs/>
        </w:rPr>
        <w:t xml:space="preserve">Note that it is also proposed to remove the provision for an exemption </w:t>
      </w:r>
      <w:r w:rsidR="0015781D" w:rsidRPr="00B7774E">
        <w:rPr>
          <w:bCs/>
          <w:iCs/>
        </w:rPr>
        <w:t>to the excess to be applied for, as detailed below</w:t>
      </w:r>
      <w:r w:rsidRPr="00B7774E">
        <w:rPr>
          <w:bCs/>
          <w:iCs/>
        </w:rPr>
        <w:t>.</w:t>
      </w:r>
    </w:p>
    <w:p w:rsidR="00F52848" w:rsidRPr="00B7774E" w:rsidRDefault="00F52848" w:rsidP="00C02F2D">
      <w:pPr>
        <w:pStyle w:val="Heading3"/>
      </w:pPr>
      <w:r w:rsidRPr="00B7774E">
        <w:t>Exemption from claim excess</w:t>
      </w:r>
    </w:p>
    <w:p w:rsidR="00F52848" w:rsidRPr="00B7774E" w:rsidRDefault="00F52848" w:rsidP="00F52848">
      <w:pPr>
        <w:pBdr>
          <w:bottom w:val="single" w:sz="4" w:space="1" w:color="808080" w:themeColor="background1" w:themeShade="80"/>
        </w:pBdr>
        <w:spacing w:after="140"/>
        <w:ind w:left="426"/>
        <w:jc w:val="both"/>
        <w:rPr>
          <w:b/>
          <w:iCs/>
          <w:sz w:val="20"/>
          <w:szCs w:val="20"/>
        </w:rPr>
      </w:pPr>
      <w:r w:rsidRPr="00B7774E">
        <w:rPr>
          <w:b/>
          <w:iCs/>
          <w:sz w:val="20"/>
          <w:szCs w:val="20"/>
        </w:rPr>
        <w:t>Section 97(1C)</w:t>
      </w:r>
    </w:p>
    <w:p w:rsidR="00F52848" w:rsidRPr="00B7774E" w:rsidRDefault="00F52848" w:rsidP="00F52848">
      <w:pPr>
        <w:spacing w:after="0"/>
        <w:ind w:left="426"/>
        <w:jc w:val="both"/>
        <w:rPr>
          <w:b/>
          <w:iCs/>
        </w:rPr>
      </w:pPr>
      <w:r w:rsidRPr="00B7774E">
        <w:rPr>
          <w:b/>
          <w:iCs/>
        </w:rPr>
        <w:t>Issue:</w:t>
      </w:r>
    </w:p>
    <w:p w:rsidR="00F52848" w:rsidRPr="00B7774E" w:rsidRDefault="00F52848" w:rsidP="00F52848">
      <w:pPr>
        <w:ind w:left="426"/>
        <w:jc w:val="both"/>
        <w:rPr>
          <w:iCs/>
        </w:rPr>
      </w:pPr>
      <w:r w:rsidRPr="00B7774E">
        <w:rPr>
          <w:iCs/>
        </w:rPr>
        <w:t xml:space="preserve">Section 97(1C) provides for the </w:t>
      </w:r>
      <w:r w:rsidR="00AD25C9">
        <w:rPr>
          <w:bCs/>
        </w:rPr>
        <w:t xml:space="preserve">WorkCover Tasmania </w:t>
      </w:r>
      <w:r w:rsidR="00AD25C9" w:rsidRPr="00B7774E">
        <w:rPr>
          <w:bCs/>
        </w:rPr>
        <w:t>Board</w:t>
      </w:r>
      <w:r w:rsidRPr="00B7774E">
        <w:rPr>
          <w:iCs/>
        </w:rPr>
        <w:t xml:space="preserve"> to grant a certificate effectively exempting the above requirement for a claim excess. This certificate allows an employer to insure against liability for the first weekly payment payable and the first $200 of any other benefits payable. This provision is considered to create unnecessary red tape and it may be more appropriate to allow insurers to determine any issue relating to excess.</w:t>
      </w:r>
    </w:p>
    <w:p w:rsidR="00F52848" w:rsidRPr="00B7774E" w:rsidRDefault="00F52848" w:rsidP="00F52848">
      <w:pPr>
        <w:spacing w:after="0"/>
        <w:ind w:left="426"/>
        <w:jc w:val="both"/>
        <w:rPr>
          <w:b/>
          <w:iCs/>
        </w:rPr>
      </w:pPr>
      <w:r w:rsidRPr="00B7774E">
        <w:rPr>
          <w:b/>
          <w:iCs/>
        </w:rPr>
        <w:t>Potential amendment:</w:t>
      </w:r>
    </w:p>
    <w:p w:rsidR="00F52848" w:rsidRPr="00B7774E" w:rsidRDefault="00F52848" w:rsidP="00F52848">
      <w:pPr>
        <w:ind w:left="426"/>
        <w:jc w:val="both"/>
        <w:rPr>
          <w:iCs/>
        </w:rPr>
      </w:pPr>
      <w:r w:rsidRPr="00B7774E">
        <w:rPr>
          <w:iCs/>
        </w:rPr>
        <w:t xml:space="preserve">Remove this requirement from the Act. Note that it is also proposed to either increase the excess or remove the requirement for an excess entirely, as detailed in Part </w:t>
      </w:r>
      <w:r w:rsidR="0015781D" w:rsidRPr="00B7774E">
        <w:rPr>
          <w:iCs/>
        </w:rPr>
        <w:t>9 above</w:t>
      </w:r>
      <w:r w:rsidRPr="00B7774E">
        <w:rPr>
          <w:iCs/>
        </w:rPr>
        <w:t xml:space="preserve">. Removal of the exemption provision is proposed whichever of the two options in Part </w:t>
      </w:r>
      <w:r w:rsidR="0015781D" w:rsidRPr="00B7774E">
        <w:rPr>
          <w:iCs/>
        </w:rPr>
        <w:t>9</w:t>
      </w:r>
      <w:r w:rsidRPr="00B7774E">
        <w:rPr>
          <w:iCs/>
        </w:rPr>
        <w:t xml:space="preserve"> eventuates.</w:t>
      </w:r>
    </w:p>
    <w:p w:rsidR="00EE2622" w:rsidRPr="00B7774E" w:rsidRDefault="00EE2622" w:rsidP="00C02F2D">
      <w:pPr>
        <w:pStyle w:val="Heading3"/>
      </w:pPr>
      <w:r w:rsidRPr="00B7774E">
        <w:t>Requirement for an insurer to forward a copy of the claim to the WorkCover Board</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Sections 36(2)</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rPr>
          <w:iCs/>
        </w:rPr>
      </w:pPr>
      <w:r w:rsidRPr="00B7774E">
        <w:rPr>
          <w:iCs/>
        </w:rPr>
        <w:t xml:space="preserve">This section requires an insurer who has received a compensation claim to forward a copy to the </w:t>
      </w:r>
      <w:r w:rsidR="00AD25C9">
        <w:rPr>
          <w:bCs/>
        </w:rPr>
        <w:t xml:space="preserve">WorkCover Tasmania </w:t>
      </w:r>
      <w:r w:rsidR="00AD25C9" w:rsidRPr="00B7774E">
        <w:rPr>
          <w:bCs/>
        </w:rPr>
        <w:t>Board</w:t>
      </w:r>
      <w:r w:rsidR="00AD25C9" w:rsidRPr="00B7774E">
        <w:rPr>
          <w:iCs/>
        </w:rPr>
        <w:t xml:space="preserve"> </w:t>
      </w:r>
      <w:r w:rsidRPr="00B7774E">
        <w:rPr>
          <w:iCs/>
        </w:rPr>
        <w:t xml:space="preserve">within 5 days. This is a duplicate provision as the Insurer Determination contains a similar requirement. </w:t>
      </w:r>
    </w:p>
    <w:p w:rsidR="00EE2622" w:rsidRPr="00B7774E" w:rsidRDefault="00EE2622" w:rsidP="00EE2622">
      <w:pPr>
        <w:spacing w:after="0"/>
        <w:ind w:left="426"/>
        <w:jc w:val="both"/>
        <w:rPr>
          <w:b/>
          <w:iCs/>
        </w:rPr>
      </w:pPr>
      <w:r w:rsidRPr="00B7774E">
        <w:rPr>
          <w:b/>
          <w:iCs/>
        </w:rPr>
        <w:t>Potential amendment:</w:t>
      </w:r>
    </w:p>
    <w:p w:rsidR="00EE2622" w:rsidRPr="00B7774E" w:rsidRDefault="00EE2622" w:rsidP="00EE2622">
      <w:pPr>
        <w:ind w:left="426"/>
        <w:jc w:val="both"/>
        <w:rPr>
          <w:iCs/>
        </w:rPr>
      </w:pPr>
      <w:r w:rsidRPr="00B7774E">
        <w:rPr>
          <w:iCs/>
        </w:rPr>
        <w:t>Remove this duplicate requirement from the Act.</w:t>
      </w:r>
    </w:p>
    <w:p w:rsidR="00B57F8E" w:rsidRPr="00B7774E" w:rsidRDefault="00B57F8E" w:rsidP="00C02F2D">
      <w:pPr>
        <w:pStyle w:val="Heading3"/>
      </w:pPr>
      <w:r w:rsidRPr="00B7774E">
        <w:t>Requirement to display a summary of the Act in the workplace</w:t>
      </w:r>
    </w:p>
    <w:p w:rsidR="00B57F8E" w:rsidRPr="00B7774E" w:rsidRDefault="00B57F8E" w:rsidP="00B57F8E">
      <w:pPr>
        <w:pBdr>
          <w:bottom w:val="single" w:sz="4" w:space="1" w:color="808080" w:themeColor="background1" w:themeShade="80"/>
        </w:pBdr>
        <w:spacing w:after="140"/>
        <w:ind w:left="426"/>
        <w:jc w:val="both"/>
        <w:rPr>
          <w:b/>
          <w:iCs/>
          <w:sz w:val="20"/>
          <w:szCs w:val="20"/>
        </w:rPr>
      </w:pPr>
      <w:r w:rsidRPr="00B7774E">
        <w:rPr>
          <w:b/>
          <w:iCs/>
          <w:sz w:val="20"/>
          <w:szCs w:val="20"/>
        </w:rPr>
        <w:t>Section 152(1</w:t>
      </w:r>
      <w:proofErr w:type="gramStart"/>
      <w:r w:rsidRPr="00B7774E">
        <w:rPr>
          <w:b/>
          <w:iCs/>
          <w:sz w:val="20"/>
          <w:szCs w:val="20"/>
        </w:rPr>
        <w:t>)(</w:t>
      </w:r>
      <w:proofErr w:type="gramEnd"/>
      <w:r w:rsidRPr="00B7774E">
        <w:rPr>
          <w:b/>
          <w:iCs/>
          <w:sz w:val="20"/>
          <w:szCs w:val="20"/>
        </w:rPr>
        <w:t>a)</w:t>
      </w:r>
    </w:p>
    <w:p w:rsidR="00B57F8E" w:rsidRPr="00B7774E" w:rsidRDefault="00B57F8E" w:rsidP="00B57F8E">
      <w:pPr>
        <w:spacing w:after="0"/>
        <w:ind w:left="426"/>
        <w:jc w:val="both"/>
        <w:rPr>
          <w:b/>
          <w:iCs/>
        </w:rPr>
      </w:pPr>
      <w:r w:rsidRPr="00B7774E">
        <w:rPr>
          <w:b/>
          <w:iCs/>
        </w:rPr>
        <w:t>Issue:</w:t>
      </w:r>
    </w:p>
    <w:p w:rsidR="00B57F8E" w:rsidRPr="00B7774E" w:rsidRDefault="00B57F8E" w:rsidP="00B57F8E">
      <w:pPr>
        <w:ind w:left="426"/>
        <w:jc w:val="both"/>
        <w:rPr>
          <w:iCs/>
        </w:rPr>
      </w:pPr>
      <w:r w:rsidRPr="00B7774E">
        <w:rPr>
          <w:iCs/>
        </w:rPr>
        <w:t>The</w:t>
      </w:r>
      <w:r w:rsidR="00AD25C9">
        <w:rPr>
          <w:iCs/>
        </w:rPr>
        <w:t xml:space="preserve"> Act</w:t>
      </w:r>
      <w:r w:rsidRPr="00B7774E">
        <w:rPr>
          <w:iCs/>
        </w:rPr>
        <w:t xml:space="preserve"> requires all employers to display a summary of the Act</w:t>
      </w:r>
      <w:r w:rsidR="00785FD7" w:rsidRPr="00B7774E">
        <w:rPr>
          <w:iCs/>
        </w:rPr>
        <w:t>’s</w:t>
      </w:r>
      <w:r w:rsidRPr="00B7774E">
        <w:rPr>
          <w:iCs/>
        </w:rPr>
        <w:t xml:space="preserve"> provisions in </w:t>
      </w:r>
      <w:r w:rsidR="00785FD7" w:rsidRPr="00B7774E">
        <w:rPr>
          <w:iCs/>
        </w:rPr>
        <w:t>their</w:t>
      </w:r>
      <w:r w:rsidRPr="00B7774E">
        <w:rPr>
          <w:iCs/>
        </w:rPr>
        <w:t xml:space="preserve"> workplace for the information of workers. However, </w:t>
      </w:r>
      <w:r w:rsidR="00785FD7" w:rsidRPr="00B7774E">
        <w:rPr>
          <w:iCs/>
        </w:rPr>
        <w:t xml:space="preserve">this is considered to be unnecessary as </w:t>
      </w:r>
      <w:r w:rsidRPr="00B7774E">
        <w:rPr>
          <w:iCs/>
        </w:rPr>
        <w:t>workers are provided with information from the insurer and also have access to WorkSafe Tasmania’s website.</w:t>
      </w:r>
    </w:p>
    <w:p w:rsidR="00B57F8E" w:rsidRPr="00B7774E" w:rsidRDefault="00F878D1" w:rsidP="00B57F8E">
      <w:pPr>
        <w:spacing w:after="0"/>
        <w:ind w:left="426"/>
        <w:jc w:val="both"/>
        <w:rPr>
          <w:b/>
          <w:iCs/>
        </w:rPr>
      </w:pPr>
      <w:r w:rsidRPr="00B7774E">
        <w:rPr>
          <w:b/>
          <w:iCs/>
        </w:rPr>
        <w:t>Potential amendment</w:t>
      </w:r>
      <w:r w:rsidR="00B57F8E" w:rsidRPr="00B7774E">
        <w:rPr>
          <w:b/>
          <w:iCs/>
        </w:rPr>
        <w:t>:</w:t>
      </w:r>
    </w:p>
    <w:p w:rsidR="00B57F8E" w:rsidRPr="00B7774E" w:rsidRDefault="00B57F8E" w:rsidP="00B57F8E">
      <w:pPr>
        <w:ind w:left="426"/>
        <w:jc w:val="both"/>
        <w:rPr>
          <w:iCs/>
        </w:rPr>
      </w:pPr>
      <w:r w:rsidRPr="00B7774E">
        <w:rPr>
          <w:iCs/>
        </w:rPr>
        <w:t>Remove this requirement from the Act.</w:t>
      </w:r>
    </w:p>
    <w:p w:rsidR="00B57F8E" w:rsidRPr="00B7774E" w:rsidRDefault="00B57F8E" w:rsidP="00C02F2D">
      <w:pPr>
        <w:pStyle w:val="Heading3"/>
      </w:pPr>
      <w:r w:rsidRPr="00B7774E">
        <w:lastRenderedPageBreak/>
        <w:t>Requirement to display details of the insurer in the workplace</w:t>
      </w:r>
    </w:p>
    <w:p w:rsidR="00B57F8E" w:rsidRPr="00B7774E" w:rsidRDefault="00B57F8E" w:rsidP="00B57F8E">
      <w:pPr>
        <w:pBdr>
          <w:bottom w:val="single" w:sz="4" w:space="1" w:color="808080" w:themeColor="background1" w:themeShade="80"/>
        </w:pBdr>
        <w:spacing w:after="140"/>
        <w:ind w:left="426"/>
        <w:jc w:val="both"/>
        <w:rPr>
          <w:b/>
          <w:iCs/>
          <w:sz w:val="20"/>
          <w:szCs w:val="20"/>
        </w:rPr>
      </w:pPr>
      <w:r w:rsidRPr="00B7774E">
        <w:rPr>
          <w:b/>
          <w:iCs/>
          <w:sz w:val="20"/>
          <w:szCs w:val="20"/>
        </w:rPr>
        <w:t>Section 152(1</w:t>
      </w:r>
      <w:proofErr w:type="gramStart"/>
      <w:r w:rsidRPr="00B7774E">
        <w:rPr>
          <w:b/>
          <w:iCs/>
          <w:sz w:val="20"/>
          <w:szCs w:val="20"/>
        </w:rPr>
        <w:t>)(</w:t>
      </w:r>
      <w:proofErr w:type="gramEnd"/>
      <w:r w:rsidRPr="00B7774E">
        <w:rPr>
          <w:b/>
          <w:iCs/>
          <w:sz w:val="20"/>
          <w:szCs w:val="20"/>
        </w:rPr>
        <w:t>b)</w:t>
      </w:r>
    </w:p>
    <w:p w:rsidR="00B57F8E" w:rsidRPr="00B7774E" w:rsidRDefault="00B57F8E" w:rsidP="00B57F8E">
      <w:pPr>
        <w:spacing w:after="0"/>
        <w:ind w:left="426"/>
        <w:jc w:val="both"/>
        <w:rPr>
          <w:b/>
          <w:iCs/>
        </w:rPr>
      </w:pPr>
      <w:r w:rsidRPr="00B7774E">
        <w:rPr>
          <w:b/>
          <w:iCs/>
        </w:rPr>
        <w:t>Issue:</w:t>
      </w:r>
    </w:p>
    <w:p w:rsidR="00B57F8E" w:rsidRPr="00B7774E" w:rsidRDefault="00B57F8E" w:rsidP="00B57F8E">
      <w:pPr>
        <w:ind w:left="426"/>
        <w:jc w:val="both"/>
        <w:rPr>
          <w:iCs/>
        </w:rPr>
      </w:pPr>
      <w:r w:rsidRPr="00B7774E">
        <w:rPr>
          <w:iCs/>
        </w:rPr>
        <w:t xml:space="preserve">Employers are </w:t>
      </w:r>
      <w:r w:rsidR="00D40724" w:rsidRPr="00B7774E">
        <w:rPr>
          <w:iCs/>
        </w:rPr>
        <w:t>curr</w:t>
      </w:r>
      <w:r w:rsidRPr="00B7774E">
        <w:rPr>
          <w:iCs/>
        </w:rPr>
        <w:t>ently required to provide a statement containing details of the insurer with whom they have a workers compensation policy. This provision provides minimal benefit.</w:t>
      </w:r>
    </w:p>
    <w:p w:rsidR="00B57F8E" w:rsidRPr="00B7774E" w:rsidRDefault="00F878D1" w:rsidP="00B57F8E">
      <w:pPr>
        <w:spacing w:after="0"/>
        <w:ind w:left="426"/>
        <w:jc w:val="both"/>
        <w:rPr>
          <w:b/>
          <w:iCs/>
        </w:rPr>
      </w:pPr>
      <w:r w:rsidRPr="00B7774E">
        <w:rPr>
          <w:b/>
          <w:iCs/>
        </w:rPr>
        <w:t>Potential amendment</w:t>
      </w:r>
      <w:r w:rsidR="00B57F8E" w:rsidRPr="00B7774E">
        <w:rPr>
          <w:b/>
          <w:iCs/>
        </w:rPr>
        <w:t>:</w:t>
      </w:r>
    </w:p>
    <w:p w:rsidR="00B57F8E" w:rsidRPr="00B7774E" w:rsidRDefault="00B57F8E" w:rsidP="00B57F8E">
      <w:pPr>
        <w:ind w:left="426"/>
        <w:jc w:val="both"/>
        <w:rPr>
          <w:iCs/>
        </w:rPr>
      </w:pPr>
      <w:r w:rsidRPr="00B7774E">
        <w:rPr>
          <w:iCs/>
        </w:rPr>
        <w:t>Remove this requirement from the Act.</w:t>
      </w:r>
    </w:p>
    <w:p w:rsidR="007717B8" w:rsidRPr="00B7774E" w:rsidRDefault="007717B8" w:rsidP="00C02F2D">
      <w:pPr>
        <w:pStyle w:val="Heading3"/>
      </w:pPr>
      <w:r w:rsidRPr="00B7774E">
        <w:t>Requirement for insurers to provide indicative workers compensation industry rates</w:t>
      </w:r>
    </w:p>
    <w:p w:rsidR="007717B8" w:rsidRPr="00B7774E" w:rsidRDefault="007717B8" w:rsidP="007717B8">
      <w:pPr>
        <w:pBdr>
          <w:bottom w:val="single" w:sz="4" w:space="1" w:color="808080" w:themeColor="background1" w:themeShade="80"/>
        </w:pBdr>
        <w:spacing w:after="140"/>
        <w:ind w:left="426"/>
        <w:jc w:val="both"/>
        <w:rPr>
          <w:b/>
          <w:iCs/>
          <w:sz w:val="20"/>
          <w:szCs w:val="20"/>
        </w:rPr>
      </w:pPr>
      <w:r w:rsidRPr="00B7774E">
        <w:rPr>
          <w:b/>
          <w:iCs/>
          <w:sz w:val="20"/>
          <w:szCs w:val="20"/>
        </w:rPr>
        <w:t>Section 102(A)</w:t>
      </w:r>
    </w:p>
    <w:p w:rsidR="007717B8" w:rsidRPr="00B7774E" w:rsidRDefault="007717B8" w:rsidP="007717B8">
      <w:pPr>
        <w:spacing w:after="0"/>
        <w:ind w:left="426"/>
        <w:jc w:val="both"/>
        <w:rPr>
          <w:b/>
          <w:iCs/>
        </w:rPr>
      </w:pPr>
      <w:r w:rsidRPr="00B7774E">
        <w:rPr>
          <w:b/>
          <w:iCs/>
        </w:rPr>
        <w:t>Issue:</w:t>
      </w:r>
    </w:p>
    <w:p w:rsidR="007717B8" w:rsidRPr="00B7774E" w:rsidRDefault="007717B8" w:rsidP="007717B8">
      <w:pPr>
        <w:ind w:left="426"/>
        <w:jc w:val="both"/>
      </w:pPr>
      <w:r w:rsidRPr="00B7774E">
        <w:t xml:space="preserve">The Act requires a licensed insurer to provide the </w:t>
      </w:r>
      <w:r w:rsidR="00AD25C9">
        <w:rPr>
          <w:bCs/>
        </w:rPr>
        <w:t xml:space="preserve">WorkCover Tasmania </w:t>
      </w:r>
      <w:r w:rsidR="00AD25C9" w:rsidRPr="00B7774E">
        <w:rPr>
          <w:bCs/>
        </w:rPr>
        <w:t>Board</w:t>
      </w:r>
      <w:r w:rsidRPr="00B7774E">
        <w:t xml:space="preserve"> with details of the industry rates</w:t>
      </w:r>
      <w:r w:rsidR="00A311EB">
        <w:t xml:space="preserve"> </w:t>
      </w:r>
      <w:r w:rsidRPr="00B7774E">
        <w:t xml:space="preserve">they intend to base their insurance premium calculations </w:t>
      </w:r>
      <w:r w:rsidR="00A311EB">
        <w:t xml:space="preserve">on </w:t>
      </w:r>
      <w:r w:rsidRPr="00B7774E">
        <w:t>for the following year. This gives the Board some prior knowledge of how insurers view the market and the relevant industries. However, this places an additional regulatory burden on the sector.</w:t>
      </w:r>
    </w:p>
    <w:p w:rsidR="007717B8" w:rsidRPr="00B7774E" w:rsidRDefault="007717B8" w:rsidP="007717B8">
      <w:pPr>
        <w:spacing w:after="0"/>
        <w:ind w:left="426"/>
        <w:jc w:val="both"/>
        <w:rPr>
          <w:b/>
          <w:iCs/>
        </w:rPr>
      </w:pPr>
      <w:r w:rsidRPr="00B7774E">
        <w:rPr>
          <w:b/>
          <w:iCs/>
        </w:rPr>
        <w:t>Potential amendment:</w:t>
      </w:r>
    </w:p>
    <w:p w:rsidR="007717B8" w:rsidRPr="00B7774E" w:rsidRDefault="007717B8" w:rsidP="007717B8">
      <w:pPr>
        <w:ind w:left="426"/>
        <w:jc w:val="both"/>
      </w:pPr>
      <w:r w:rsidRPr="00B7774E">
        <w:t>Remove this requirement from the Act.</w:t>
      </w:r>
    </w:p>
    <w:p w:rsidR="00EE2622" w:rsidRPr="00B7774E" w:rsidRDefault="00EE2622" w:rsidP="00C02F2D">
      <w:pPr>
        <w:pStyle w:val="Heading3"/>
      </w:pPr>
      <w:r w:rsidRPr="00B7774E">
        <w:t>Requirement for provision of a death certificate</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Section 34(2A</w:t>
      </w:r>
      <w:proofErr w:type="gramStart"/>
      <w:r w:rsidRPr="00B7774E">
        <w:rPr>
          <w:b/>
          <w:iCs/>
          <w:sz w:val="20"/>
          <w:szCs w:val="20"/>
        </w:rPr>
        <w:t>)(</w:t>
      </w:r>
      <w:proofErr w:type="gramEnd"/>
      <w:r w:rsidRPr="00B7774E">
        <w:rPr>
          <w:b/>
          <w:iCs/>
          <w:sz w:val="20"/>
          <w:szCs w:val="20"/>
        </w:rPr>
        <w:t>b)</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rPr>
          <w:iCs/>
        </w:rPr>
      </w:pPr>
      <w:r w:rsidRPr="00B7774E">
        <w:rPr>
          <w:iCs/>
        </w:rPr>
        <w:t xml:space="preserve">At present, the Act requires any claim for compensation by a worker’s dependant </w:t>
      </w:r>
      <w:r w:rsidR="00744A2C">
        <w:rPr>
          <w:iCs/>
        </w:rPr>
        <w:t>for</w:t>
      </w:r>
      <w:r w:rsidRPr="00B7774E">
        <w:rPr>
          <w:iCs/>
        </w:rPr>
        <w:t xml:space="preserve"> a work related death to be accompanied by a death certificate signed by a medical practitioner. </w:t>
      </w:r>
    </w:p>
    <w:p w:rsidR="00EE2622" w:rsidRPr="00B7774E" w:rsidRDefault="00EE2622" w:rsidP="00EE2622">
      <w:pPr>
        <w:spacing w:after="0"/>
        <w:ind w:left="426"/>
        <w:jc w:val="both"/>
        <w:rPr>
          <w:b/>
          <w:iCs/>
        </w:rPr>
      </w:pPr>
      <w:r w:rsidRPr="00B7774E">
        <w:rPr>
          <w:b/>
          <w:iCs/>
        </w:rPr>
        <w:t>Potential amendment:</w:t>
      </w:r>
    </w:p>
    <w:p w:rsidR="00EE2622" w:rsidRPr="00B7774E" w:rsidRDefault="00EE2622" w:rsidP="00EE2622">
      <w:pPr>
        <w:ind w:left="426"/>
        <w:jc w:val="both"/>
        <w:rPr>
          <w:iCs/>
        </w:rPr>
      </w:pPr>
      <w:r w:rsidRPr="00B7774E">
        <w:rPr>
          <w:iCs/>
        </w:rPr>
        <w:t>Remove this requirement</w:t>
      </w:r>
      <w:r w:rsidR="00EE4AB4">
        <w:rPr>
          <w:iCs/>
        </w:rPr>
        <w:t xml:space="preserve">, </w:t>
      </w:r>
      <w:r w:rsidRPr="00B7774E">
        <w:rPr>
          <w:iCs/>
        </w:rPr>
        <w:t>to streamline the process for dependants of th</w:t>
      </w:r>
      <w:r w:rsidR="00AD25C9">
        <w:rPr>
          <w:iCs/>
        </w:rPr>
        <w:t>e deceased worker. An approved Death Claim</w:t>
      </w:r>
      <w:r w:rsidRPr="00B7774E">
        <w:rPr>
          <w:iCs/>
        </w:rPr>
        <w:t xml:space="preserve"> form will be introduced.</w:t>
      </w:r>
    </w:p>
    <w:p w:rsidR="00EE2622" w:rsidRPr="00B7774E" w:rsidRDefault="00EE2622" w:rsidP="00C02F2D">
      <w:pPr>
        <w:pStyle w:val="Heading3"/>
      </w:pPr>
      <w:r w:rsidRPr="00B7774E">
        <w:t>Coverage for partial dependents</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Sections 67 and 68</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rPr>
          <w:iCs/>
        </w:rPr>
      </w:pPr>
      <w:r w:rsidRPr="00B7774E">
        <w:rPr>
          <w:iCs/>
        </w:rPr>
        <w:t>Section 67 of the Act sets out how compensation in the event of a work</w:t>
      </w:r>
      <w:r w:rsidR="00942430">
        <w:rPr>
          <w:iCs/>
        </w:rPr>
        <w:t xml:space="preserve"> </w:t>
      </w:r>
      <w:r w:rsidRPr="00B7774E">
        <w:rPr>
          <w:iCs/>
        </w:rPr>
        <w:t xml:space="preserve">related death should be distributed amongst the deceased worker’s dependents. It makes a distinction between dependents who were </w:t>
      </w:r>
      <w:r w:rsidRPr="00B7774E">
        <w:rPr>
          <w:i/>
          <w:iCs/>
        </w:rPr>
        <w:t>wholly</w:t>
      </w:r>
      <w:r w:rsidRPr="00B7774E">
        <w:rPr>
          <w:iCs/>
        </w:rPr>
        <w:t xml:space="preserve"> dependent on the deceased worker, and those who were </w:t>
      </w:r>
      <w:r w:rsidRPr="00B7774E">
        <w:rPr>
          <w:i/>
          <w:iCs/>
        </w:rPr>
        <w:t>partially</w:t>
      </w:r>
      <w:r w:rsidRPr="00B7774E">
        <w:rPr>
          <w:iCs/>
        </w:rPr>
        <w:t xml:space="preserve"> dependent. These may be a spouse/partner or one or more children, or a combination of these.</w:t>
      </w:r>
    </w:p>
    <w:p w:rsidR="00EE2622" w:rsidRPr="00B7774E" w:rsidRDefault="00EE2622" w:rsidP="00EE2622">
      <w:pPr>
        <w:ind w:left="426"/>
        <w:jc w:val="both"/>
        <w:rPr>
          <w:iCs/>
        </w:rPr>
      </w:pPr>
      <w:r w:rsidRPr="00B7774E">
        <w:rPr>
          <w:iCs/>
        </w:rPr>
        <w:t xml:space="preserve">The Act provides for various permutations of dependents, such as a </w:t>
      </w:r>
      <w:r w:rsidRPr="00B7774E">
        <w:rPr>
          <w:i/>
          <w:iCs/>
        </w:rPr>
        <w:t>wholly</w:t>
      </w:r>
      <w:r w:rsidRPr="00B7774E">
        <w:rPr>
          <w:iCs/>
        </w:rPr>
        <w:t xml:space="preserve"> dependent spouse/partner and a </w:t>
      </w:r>
      <w:r w:rsidRPr="00B7774E">
        <w:rPr>
          <w:i/>
          <w:iCs/>
        </w:rPr>
        <w:t>partially</w:t>
      </w:r>
      <w:r w:rsidRPr="00B7774E">
        <w:rPr>
          <w:iCs/>
        </w:rPr>
        <w:t xml:space="preserve"> dependent spouse or child/children. However, there is no specific provision for a </w:t>
      </w:r>
      <w:r w:rsidRPr="00B7774E">
        <w:rPr>
          <w:i/>
          <w:iCs/>
        </w:rPr>
        <w:t>partially</w:t>
      </w:r>
      <w:r w:rsidRPr="00B7774E">
        <w:rPr>
          <w:iCs/>
        </w:rPr>
        <w:t xml:space="preserve"> dependent spouse and</w:t>
      </w:r>
      <w:r w:rsidRPr="00B7774E">
        <w:rPr>
          <w:i/>
          <w:iCs/>
        </w:rPr>
        <w:t xml:space="preserve"> </w:t>
      </w:r>
      <w:r w:rsidRPr="00B7774E">
        <w:rPr>
          <w:iCs/>
        </w:rPr>
        <w:t xml:space="preserve">one or more </w:t>
      </w:r>
      <w:r w:rsidRPr="00B7774E">
        <w:rPr>
          <w:i/>
          <w:iCs/>
        </w:rPr>
        <w:t>partially</w:t>
      </w:r>
      <w:r w:rsidRPr="00B7774E">
        <w:rPr>
          <w:iCs/>
        </w:rPr>
        <w:t xml:space="preserve"> dependent children. This is considered to be an oversight which does not reflect the intention of the Act.</w:t>
      </w:r>
    </w:p>
    <w:p w:rsidR="00EE2622" w:rsidRPr="00B7774E" w:rsidRDefault="00EE2622" w:rsidP="00EE2622">
      <w:pPr>
        <w:ind w:left="426"/>
        <w:jc w:val="both"/>
        <w:rPr>
          <w:iCs/>
        </w:rPr>
      </w:pPr>
      <w:r w:rsidRPr="00B7774E">
        <w:rPr>
          <w:iCs/>
        </w:rPr>
        <w:lastRenderedPageBreak/>
        <w:t xml:space="preserve">Section 68 provides for a determination by the </w:t>
      </w:r>
      <w:r w:rsidRPr="00B7774E">
        <w:t>Workers Rehabilitation and Compensation</w:t>
      </w:r>
      <w:r w:rsidRPr="00B7774E">
        <w:rPr>
          <w:iCs/>
        </w:rPr>
        <w:t xml:space="preserve"> Tribunal to make</w:t>
      </w:r>
      <w:r w:rsidR="00942430">
        <w:rPr>
          <w:iCs/>
        </w:rPr>
        <w:t>,</w:t>
      </w:r>
      <w:r w:rsidRPr="00B7774E">
        <w:rPr>
          <w:iCs/>
        </w:rPr>
        <w:t xml:space="preserve"> as to how compensation should be apportioned amongst total and/or partial dependents where there is a dispute. However, it is considered that this step ought not to be necessary as a means to address a legislative deficiency</w:t>
      </w:r>
      <w:r w:rsidR="00942430">
        <w:rPr>
          <w:iCs/>
        </w:rPr>
        <w:t>,</w:t>
      </w:r>
      <w:r w:rsidRPr="00B7774E">
        <w:rPr>
          <w:iCs/>
        </w:rPr>
        <w:t xml:space="preserve"> and places an unwarranted burden on those who have experienced </w:t>
      </w:r>
      <w:proofErr w:type="gramStart"/>
      <w:r w:rsidRPr="00B7774E">
        <w:rPr>
          <w:iCs/>
        </w:rPr>
        <w:t>a bereavement</w:t>
      </w:r>
      <w:proofErr w:type="gramEnd"/>
      <w:r w:rsidRPr="00B7774E">
        <w:rPr>
          <w:iCs/>
        </w:rPr>
        <w:t>.</w:t>
      </w:r>
    </w:p>
    <w:p w:rsidR="00EE2622" w:rsidRPr="00B7774E" w:rsidRDefault="00EE2622" w:rsidP="00EE2622">
      <w:pPr>
        <w:spacing w:after="0"/>
        <w:ind w:left="426"/>
        <w:jc w:val="both"/>
        <w:rPr>
          <w:b/>
          <w:iCs/>
        </w:rPr>
      </w:pPr>
      <w:r w:rsidRPr="00B7774E">
        <w:rPr>
          <w:b/>
          <w:iCs/>
        </w:rPr>
        <w:t>Potential amendment:</w:t>
      </w:r>
    </w:p>
    <w:p w:rsidR="00EE2622" w:rsidRPr="00B7774E" w:rsidRDefault="00EE2622" w:rsidP="00EE2622">
      <w:pPr>
        <w:ind w:left="426"/>
        <w:jc w:val="both"/>
        <w:rPr>
          <w:iCs/>
        </w:rPr>
      </w:pPr>
      <w:r w:rsidRPr="00B7774E">
        <w:rPr>
          <w:iCs/>
        </w:rPr>
        <w:t xml:space="preserve">Add a provision to Section 67 to specifically cover situations where dependents include a partially dependent spouse or partner </w:t>
      </w:r>
      <w:r w:rsidRPr="00B7774E">
        <w:rPr>
          <w:i/>
          <w:iCs/>
        </w:rPr>
        <w:t xml:space="preserve">and </w:t>
      </w:r>
      <w:r w:rsidRPr="00B7774E">
        <w:rPr>
          <w:iCs/>
        </w:rPr>
        <w:t>one or more partially dependent children.</w:t>
      </w:r>
    </w:p>
    <w:p w:rsidR="00EE2622" w:rsidRPr="00B7774E" w:rsidRDefault="00EE2622" w:rsidP="00C02F2D">
      <w:pPr>
        <w:pStyle w:val="Heading3"/>
      </w:pPr>
      <w:r w:rsidRPr="00B7774E">
        <w:t>Workers Compensation medical certificates certifying total incapacity exceeding 14 days</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Section 143</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pPr>
      <w:r w:rsidRPr="00B7774E">
        <w:t>The Act currently prohibits medical practitioners from issuing medical certificates certifying that a worker will be totally incapacitated for work for longer than 14 days</w:t>
      </w:r>
      <w:r w:rsidR="00942430">
        <w:t>,</w:t>
      </w:r>
      <w:r w:rsidRPr="00B7774E">
        <w:t xml:space="preserve"> unless they provide reasons for this timeframe. This requirement is considered administratively burdensome.</w:t>
      </w:r>
    </w:p>
    <w:p w:rsidR="00EE2622" w:rsidRPr="00B7774E" w:rsidRDefault="00EE2622" w:rsidP="00EE2622">
      <w:pPr>
        <w:spacing w:after="0"/>
        <w:ind w:left="426"/>
        <w:jc w:val="both"/>
        <w:rPr>
          <w:b/>
          <w:iCs/>
        </w:rPr>
      </w:pPr>
      <w:r w:rsidRPr="00B7774E">
        <w:rPr>
          <w:b/>
          <w:iCs/>
        </w:rPr>
        <w:t>Potential amendment:</w:t>
      </w:r>
    </w:p>
    <w:p w:rsidR="00EE2622" w:rsidRPr="00B7774E" w:rsidRDefault="00EE2622" w:rsidP="00EE2622">
      <w:pPr>
        <w:ind w:left="426"/>
        <w:jc w:val="both"/>
        <w:rPr>
          <w:bCs/>
        </w:rPr>
      </w:pPr>
      <w:r w:rsidRPr="00B7774E">
        <w:t>Remove th</w:t>
      </w:r>
      <w:r w:rsidR="00EE4AB4">
        <w:t>is</w:t>
      </w:r>
      <w:r w:rsidRPr="00B7774E">
        <w:t xml:space="preserve"> requirement from the Act.</w:t>
      </w:r>
    </w:p>
    <w:p w:rsidR="00EE2622" w:rsidRPr="00B7774E" w:rsidRDefault="00EE2622" w:rsidP="00C02F2D">
      <w:pPr>
        <w:pStyle w:val="Heading3"/>
      </w:pPr>
      <w:r w:rsidRPr="00B7774E">
        <w:t>List of deemed diseases</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Schedules 4 and 5</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rPr>
          <w:iCs/>
        </w:rPr>
      </w:pPr>
      <w:r w:rsidRPr="00B7774E">
        <w:rPr>
          <w:iCs/>
        </w:rPr>
        <w:t>As with most Australian workers’ compensation and rehabilitation schemes, Schedule 4 of the Act contains a list of diseases deemed to be work related, and specifies various occupations at risk of these. This list has changed little since the Act first came into force.</w:t>
      </w:r>
      <w:r w:rsidR="0080436F" w:rsidRPr="00B7774E">
        <w:rPr>
          <w:iCs/>
        </w:rPr>
        <w:t xml:space="preserve"> </w:t>
      </w:r>
    </w:p>
    <w:p w:rsidR="00EE2622" w:rsidRPr="00B7774E" w:rsidRDefault="00EE2622" w:rsidP="00EE2622">
      <w:pPr>
        <w:ind w:left="426"/>
        <w:jc w:val="both"/>
        <w:rPr>
          <w:iCs/>
        </w:rPr>
      </w:pPr>
      <w:r w:rsidRPr="00B7774E">
        <w:rPr>
          <w:iCs/>
        </w:rPr>
        <w:t xml:space="preserve">(Note that Schedule 5 contains a second list of diseases which are deemed to be related to </w:t>
      </w:r>
      <w:proofErr w:type="spellStart"/>
      <w:r w:rsidRPr="00B7774E">
        <w:rPr>
          <w:iCs/>
        </w:rPr>
        <w:t>firefighting</w:t>
      </w:r>
      <w:proofErr w:type="spellEnd"/>
      <w:r w:rsidRPr="00B7774E">
        <w:rPr>
          <w:iCs/>
        </w:rPr>
        <w:t xml:space="preserve"> but these are not currently under consideration for amendment.) </w:t>
      </w:r>
    </w:p>
    <w:p w:rsidR="00EE2622" w:rsidRPr="00B7774E" w:rsidRDefault="00EE2622" w:rsidP="00EE2622">
      <w:pPr>
        <w:spacing w:after="0"/>
        <w:ind w:left="426"/>
        <w:jc w:val="both"/>
        <w:rPr>
          <w:b/>
          <w:iCs/>
        </w:rPr>
      </w:pPr>
      <w:r w:rsidRPr="00B7774E">
        <w:rPr>
          <w:b/>
          <w:iCs/>
        </w:rPr>
        <w:t>Potential amendment:</w:t>
      </w:r>
    </w:p>
    <w:p w:rsidR="00EE2622" w:rsidRPr="00B7774E" w:rsidRDefault="00942430" w:rsidP="00EE2622">
      <w:pPr>
        <w:spacing w:after="0"/>
        <w:ind w:left="426"/>
        <w:jc w:val="both"/>
        <w:rPr>
          <w:iCs/>
        </w:rPr>
      </w:pPr>
      <w:r>
        <w:rPr>
          <w:iCs/>
        </w:rPr>
        <w:t>There is the p</w:t>
      </w:r>
      <w:r w:rsidR="00EE2622" w:rsidRPr="00B7774E">
        <w:rPr>
          <w:iCs/>
        </w:rPr>
        <w:t>otential to replace the Schedule 4 list with a new list of deemed diseases</w:t>
      </w:r>
      <w:r>
        <w:rPr>
          <w:iCs/>
        </w:rPr>
        <w:t>,</w:t>
      </w:r>
      <w:r w:rsidR="00EE2622" w:rsidRPr="00B7774E">
        <w:rPr>
          <w:iCs/>
        </w:rPr>
        <w:t xml:space="preserve"> recently developed by Safe</w:t>
      </w:r>
      <w:r>
        <w:rPr>
          <w:iCs/>
        </w:rPr>
        <w:t xml:space="preserve"> </w:t>
      </w:r>
      <w:r w:rsidR="00EE2622" w:rsidRPr="00B7774E">
        <w:rPr>
          <w:iCs/>
        </w:rPr>
        <w:t>Work Australia. This list is based on up to date, evidence-based research and includes conditions currently not recognised under the Act. The l</w:t>
      </w:r>
      <w:r w:rsidR="00AD25C9">
        <w:rPr>
          <w:iCs/>
        </w:rPr>
        <w:t>ist can be found at</w:t>
      </w:r>
    </w:p>
    <w:p w:rsidR="00EE2622" w:rsidRPr="00AD25C9" w:rsidRDefault="00BD2080" w:rsidP="00EE2622">
      <w:pPr>
        <w:ind w:left="426"/>
        <w:rPr>
          <w:iCs/>
        </w:rPr>
      </w:pPr>
      <w:hyperlink r:id="rId11" w:history="1">
        <w:r w:rsidR="00EE2622" w:rsidRPr="00AD25C9">
          <w:rPr>
            <w:rStyle w:val="Hyperlink"/>
            <w:iCs/>
            <w:color w:val="auto"/>
            <w:u w:val="none"/>
          </w:rPr>
          <w:t>www.s</w:t>
        </w:r>
        <w:r w:rsidR="00942430">
          <w:rPr>
            <w:rStyle w:val="Hyperlink"/>
            <w:iCs/>
            <w:color w:val="auto"/>
            <w:u w:val="none"/>
          </w:rPr>
          <w:t>wa</w:t>
        </w:r>
        <w:r w:rsidR="00EE2622" w:rsidRPr="00AD25C9">
          <w:rPr>
            <w:rStyle w:val="Hyperlink"/>
            <w:iCs/>
            <w:color w:val="auto"/>
            <w:u w:val="none"/>
          </w:rPr>
          <w:t>.gov.au</w:t>
        </w:r>
      </w:hyperlink>
      <w:r w:rsidR="00EE2622" w:rsidRPr="00AD25C9">
        <w:rPr>
          <w:iCs/>
        </w:rPr>
        <w:t xml:space="preserve"> </w:t>
      </w:r>
    </w:p>
    <w:p w:rsidR="00EE2622" w:rsidRPr="00B7774E" w:rsidRDefault="00EE2622" w:rsidP="00C02F2D">
      <w:pPr>
        <w:pStyle w:val="Heading3"/>
      </w:pPr>
      <w:r w:rsidRPr="00B7774E">
        <w:t>Return</w:t>
      </w:r>
      <w:r w:rsidR="00EE4AB4">
        <w:t xml:space="preserve"> </w:t>
      </w:r>
      <w:r w:rsidRPr="00B7774E">
        <w:t>to</w:t>
      </w:r>
      <w:r w:rsidR="00EE4AB4">
        <w:t xml:space="preserve"> </w:t>
      </w:r>
      <w:r w:rsidRPr="00B7774E">
        <w:t>work co-ordinators</w:t>
      </w:r>
    </w:p>
    <w:p w:rsidR="00EE2622" w:rsidRPr="00B7774E" w:rsidRDefault="00EE2622" w:rsidP="00EE2622">
      <w:pPr>
        <w:pBdr>
          <w:bottom w:val="single" w:sz="4" w:space="1" w:color="808080" w:themeColor="background1" w:themeShade="80"/>
        </w:pBdr>
        <w:spacing w:after="140"/>
        <w:ind w:left="426"/>
        <w:jc w:val="both"/>
        <w:rPr>
          <w:b/>
          <w:iCs/>
          <w:sz w:val="20"/>
          <w:szCs w:val="20"/>
        </w:rPr>
      </w:pPr>
      <w:r w:rsidRPr="00B7774E">
        <w:rPr>
          <w:b/>
          <w:iCs/>
          <w:sz w:val="20"/>
          <w:szCs w:val="20"/>
        </w:rPr>
        <w:t>Section 143D</w:t>
      </w:r>
    </w:p>
    <w:p w:rsidR="00EE2622" w:rsidRPr="00B7774E" w:rsidRDefault="00EE2622" w:rsidP="00EE2622">
      <w:pPr>
        <w:spacing w:after="0"/>
        <w:ind w:left="426"/>
        <w:jc w:val="both"/>
        <w:rPr>
          <w:b/>
          <w:iCs/>
        </w:rPr>
      </w:pPr>
      <w:r w:rsidRPr="00B7774E">
        <w:rPr>
          <w:b/>
          <w:iCs/>
        </w:rPr>
        <w:t>Issue:</w:t>
      </w:r>
    </w:p>
    <w:p w:rsidR="00EE2622" w:rsidRPr="00B7774E" w:rsidRDefault="00EE2622" w:rsidP="00EE2622">
      <w:pPr>
        <w:ind w:left="426"/>
        <w:jc w:val="both"/>
        <w:rPr>
          <w:bCs/>
        </w:rPr>
      </w:pPr>
      <w:r w:rsidRPr="00B7774E">
        <w:rPr>
          <w:bCs/>
        </w:rPr>
        <w:t>The Act requires employers who employ more than 50 workers to appoint a trained return</w:t>
      </w:r>
      <w:r w:rsidR="00942430">
        <w:rPr>
          <w:bCs/>
        </w:rPr>
        <w:t xml:space="preserve"> </w:t>
      </w:r>
      <w:r w:rsidRPr="00B7774E">
        <w:rPr>
          <w:bCs/>
        </w:rPr>
        <w:t>to</w:t>
      </w:r>
      <w:r w:rsidR="00942430">
        <w:rPr>
          <w:bCs/>
        </w:rPr>
        <w:t xml:space="preserve"> </w:t>
      </w:r>
      <w:r w:rsidRPr="00B7774E">
        <w:rPr>
          <w:bCs/>
        </w:rPr>
        <w:t xml:space="preserve">work co-ordinator to assist any worker who suffers a significant injury. The co-ordinator </w:t>
      </w:r>
      <w:r w:rsidR="00EE4AB4">
        <w:rPr>
          <w:bCs/>
        </w:rPr>
        <w:t>assists</w:t>
      </w:r>
      <w:r w:rsidRPr="00B7774E">
        <w:rPr>
          <w:bCs/>
        </w:rPr>
        <w:t xml:space="preserve"> with return</w:t>
      </w:r>
      <w:r w:rsidR="00942430">
        <w:rPr>
          <w:bCs/>
        </w:rPr>
        <w:t xml:space="preserve"> </w:t>
      </w:r>
      <w:r w:rsidRPr="00B7774E">
        <w:rPr>
          <w:bCs/>
        </w:rPr>
        <w:t>to</w:t>
      </w:r>
      <w:r w:rsidR="00942430">
        <w:rPr>
          <w:bCs/>
        </w:rPr>
        <w:t xml:space="preserve"> </w:t>
      </w:r>
      <w:r w:rsidRPr="00B7774E">
        <w:rPr>
          <w:bCs/>
        </w:rPr>
        <w:t>work planning</w:t>
      </w:r>
      <w:bookmarkStart w:id="1" w:name="GS143D@Gs5@Hpb@EN"/>
      <w:bookmarkEnd w:id="1"/>
      <w:r w:rsidRPr="00B7774E">
        <w:rPr>
          <w:bCs/>
        </w:rPr>
        <w:t>, monitor</w:t>
      </w:r>
      <w:r w:rsidR="00EE4AB4">
        <w:rPr>
          <w:bCs/>
        </w:rPr>
        <w:t>s</w:t>
      </w:r>
      <w:r w:rsidRPr="00B7774E">
        <w:rPr>
          <w:bCs/>
        </w:rPr>
        <w:t xml:space="preserve"> the worker's progress</w:t>
      </w:r>
      <w:bookmarkStart w:id="2" w:name="GS143D@Gs5@Hpc@EN"/>
      <w:bookmarkEnd w:id="2"/>
      <w:r w:rsidRPr="00B7774E">
        <w:rPr>
          <w:bCs/>
        </w:rPr>
        <w:t xml:space="preserve">, </w:t>
      </w:r>
      <w:r w:rsidR="00EE4AB4">
        <w:rPr>
          <w:bCs/>
        </w:rPr>
        <w:t xml:space="preserve">and </w:t>
      </w:r>
      <w:r w:rsidRPr="00B7774E">
        <w:rPr>
          <w:bCs/>
        </w:rPr>
        <w:t>assist</w:t>
      </w:r>
      <w:r w:rsidR="00EE4AB4">
        <w:rPr>
          <w:bCs/>
        </w:rPr>
        <w:t>s</w:t>
      </w:r>
      <w:r w:rsidRPr="00B7774E">
        <w:rPr>
          <w:bCs/>
        </w:rPr>
        <w:t xml:space="preserve"> the worker perform </w:t>
      </w:r>
      <w:r w:rsidRPr="00B7774E">
        <w:rPr>
          <w:bCs/>
        </w:rPr>
        <w:lastRenderedPageBreak/>
        <w:t>their duties in a safe and appropriate manner. There is limited evidence that this requirement affects outcomes.</w:t>
      </w:r>
    </w:p>
    <w:p w:rsidR="00EE2622" w:rsidRPr="00B55248" w:rsidRDefault="00EE2622" w:rsidP="00EE2622">
      <w:pPr>
        <w:spacing w:after="0"/>
        <w:ind w:left="426"/>
        <w:jc w:val="both"/>
        <w:rPr>
          <w:b/>
          <w:iCs/>
        </w:rPr>
      </w:pPr>
      <w:r w:rsidRPr="00B55248">
        <w:rPr>
          <w:b/>
          <w:iCs/>
        </w:rPr>
        <w:t>Potential amendment:</w:t>
      </w:r>
    </w:p>
    <w:p w:rsidR="00EE2622" w:rsidRPr="00B7774E" w:rsidRDefault="00EE2622" w:rsidP="00EE2622">
      <w:pPr>
        <w:ind w:left="426"/>
        <w:jc w:val="both"/>
        <w:rPr>
          <w:bCs/>
        </w:rPr>
      </w:pPr>
      <w:r w:rsidRPr="00B55248">
        <w:rPr>
          <w:bCs/>
        </w:rPr>
        <w:t>Remove th</w:t>
      </w:r>
      <w:r w:rsidR="00B55248" w:rsidRPr="00B55248">
        <w:rPr>
          <w:bCs/>
        </w:rPr>
        <w:t>is</w:t>
      </w:r>
      <w:r w:rsidRPr="00B55248">
        <w:rPr>
          <w:bCs/>
        </w:rPr>
        <w:t xml:space="preserve"> requirement from the Act.</w:t>
      </w:r>
    </w:p>
    <w:p w:rsidR="00F52848" w:rsidRPr="00B7774E" w:rsidRDefault="00F52848" w:rsidP="00C02F2D">
      <w:pPr>
        <w:pStyle w:val="Heading3"/>
      </w:pPr>
      <w:r w:rsidRPr="00B7774E">
        <w:t>Nominal Insurer Committee membership and governance</w:t>
      </w:r>
    </w:p>
    <w:p w:rsidR="00F52848" w:rsidRPr="00B7774E" w:rsidRDefault="00F52848" w:rsidP="00F52848">
      <w:pPr>
        <w:pBdr>
          <w:bottom w:val="single" w:sz="4" w:space="1" w:color="808080" w:themeColor="background1" w:themeShade="80"/>
        </w:pBdr>
        <w:spacing w:after="140"/>
        <w:ind w:left="426"/>
        <w:jc w:val="both"/>
        <w:rPr>
          <w:b/>
          <w:iCs/>
          <w:sz w:val="20"/>
          <w:szCs w:val="20"/>
        </w:rPr>
      </w:pPr>
      <w:r w:rsidRPr="00B7774E">
        <w:rPr>
          <w:b/>
          <w:iCs/>
          <w:sz w:val="20"/>
          <w:szCs w:val="20"/>
        </w:rPr>
        <w:t>Section 122</w:t>
      </w:r>
    </w:p>
    <w:p w:rsidR="00F52848" w:rsidRPr="00B7774E" w:rsidRDefault="00F52848" w:rsidP="00F52848">
      <w:pPr>
        <w:spacing w:after="0"/>
        <w:ind w:left="426"/>
        <w:jc w:val="both"/>
        <w:rPr>
          <w:b/>
          <w:iCs/>
        </w:rPr>
      </w:pPr>
      <w:r w:rsidRPr="00B7774E">
        <w:rPr>
          <w:b/>
          <w:iCs/>
        </w:rPr>
        <w:t>Issue:</w:t>
      </w:r>
    </w:p>
    <w:p w:rsidR="00F52848" w:rsidRPr="00B7774E" w:rsidRDefault="00F52848" w:rsidP="00F52848">
      <w:pPr>
        <w:ind w:left="426"/>
        <w:jc w:val="both"/>
        <w:rPr>
          <w:iCs/>
        </w:rPr>
      </w:pPr>
      <w:r w:rsidRPr="00B7774E">
        <w:rPr>
          <w:iCs/>
        </w:rPr>
        <w:t>Th</w:t>
      </w:r>
      <w:r w:rsidR="00AD25C9">
        <w:rPr>
          <w:iCs/>
        </w:rPr>
        <w:t>e Act established a body named the Nominal Insurer</w:t>
      </w:r>
      <w:r w:rsidRPr="00B7774E">
        <w:rPr>
          <w:iCs/>
        </w:rPr>
        <w:t xml:space="preserve"> to ensure compensation claims are handled correctly and workers receive fair compensation in the event of certain unforeseen eventualities (for instance, an employer failing to insure in accordance with the Act or an insurer becoming bankrupt). The Nominal Insurer is funded by insurers and self-insurers (employers that insure themselves) and can therefore be considered an ‘insurer of last resort’. The Nominal Insurer is based on a committee structure</w:t>
      </w:r>
      <w:r w:rsidR="00942430">
        <w:rPr>
          <w:iCs/>
        </w:rPr>
        <w:t>;</w:t>
      </w:r>
      <w:r w:rsidRPr="00B7774E">
        <w:rPr>
          <w:iCs/>
        </w:rPr>
        <w:t xml:space="preserve"> however</w:t>
      </w:r>
      <w:r w:rsidR="00942430">
        <w:rPr>
          <w:iCs/>
        </w:rPr>
        <w:t>,</w:t>
      </w:r>
      <w:r w:rsidRPr="00B7774E">
        <w:rPr>
          <w:iCs/>
        </w:rPr>
        <w:t xml:space="preserve"> only a small number of claims are received by the </w:t>
      </w:r>
      <w:r w:rsidR="0049666C">
        <w:rPr>
          <w:iCs/>
        </w:rPr>
        <w:t>Nominal Insurer</w:t>
      </w:r>
      <w:r w:rsidR="0049666C" w:rsidRPr="00B7774E">
        <w:rPr>
          <w:iCs/>
        </w:rPr>
        <w:t xml:space="preserve"> </w:t>
      </w:r>
      <w:r w:rsidRPr="00B7774E">
        <w:rPr>
          <w:iCs/>
        </w:rPr>
        <w:t>and the current structure is not considered the most cost effective option.</w:t>
      </w:r>
      <w:r w:rsidR="0080436F" w:rsidRPr="00B7774E">
        <w:rPr>
          <w:iCs/>
        </w:rPr>
        <w:t xml:space="preserve"> </w:t>
      </w:r>
    </w:p>
    <w:p w:rsidR="00F52848" w:rsidRPr="00B7774E" w:rsidRDefault="00F52848" w:rsidP="00F52848">
      <w:pPr>
        <w:spacing w:after="0"/>
        <w:ind w:left="426"/>
        <w:jc w:val="both"/>
        <w:rPr>
          <w:b/>
          <w:iCs/>
        </w:rPr>
      </w:pPr>
      <w:r w:rsidRPr="00B7774E">
        <w:rPr>
          <w:b/>
          <w:iCs/>
        </w:rPr>
        <w:t>Potential amendment:</w:t>
      </w:r>
    </w:p>
    <w:p w:rsidR="00F52848" w:rsidRPr="00B7774E" w:rsidRDefault="0049666C" w:rsidP="00F52848">
      <w:pPr>
        <w:ind w:left="426"/>
        <w:jc w:val="both"/>
        <w:rPr>
          <w:iCs/>
        </w:rPr>
      </w:pPr>
      <w:r>
        <w:rPr>
          <w:iCs/>
        </w:rPr>
        <w:t>R</w:t>
      </w:r>
      <w:r w:rsidR="00F52848" w:rsidRPr="00B7774E">
        <w:rPr>
          <w:iCs/>
        </w:rPr>
        <w:t xml:space="preserve">eplace the committee structure with a Commissioner and to </w:t>
      </w:r>
      <w:r w:rsidR="00A50B64">
        <w:rPr>
          <w:iCs/>
        </w:rPr>
        <w:t>use</w:t>
      </w:r>
      <w:r w:rsidR="00F52848" w:rsidRPr="00B7774E">
        <w:rPr>
          <w:iCs/>
        </w:rPr>
        <w:t xml:space="preserve"> existing departmental expertise to manage any claims.</w:t>
      </w:r>
    </w:p>
    <w:p w:rsidR="00DD73ED" w:rsidRPr="00B7774E" w:rsidRDefault="00DD73ED" w:rsidP="00C02F2D">
      <w:pPr>
        <w:pStyle w:val="Heading3"/>
      </w:pPr>
      <w:r w:rsidRPr="00B7774E">
        <w:t>Injuries not considered to be employment related</w:t>
      </w:r>
    </w:p>
    <w:p w:rsidR="00DD73ED" w:rsidRPr="00B7774E" w:rsidRDefault="00DD73ED" w:rsidP="00DD73ED">
      <w:pPr>
        <w:pBdr>
          <w:bottom w:val="single" w:sz="4" w:space="1" w:color="808080" w:themeColor="background1" w:themeShade="80"/>
        </w:pBdr>
        <w:spacing w:after="140"/>
        <w:ind w:left="426"/>
        <w:jc w:val="both"/>
        <w:rPr>
          <w:b/>
          <w:iCs/>
          <w:sz w:val="20"/>
          <w:szCs w:val="20"/>
        </w:rPr>
      </w:pPr>
      <w:r w:rsidRPr="00B7774E">
        <w:rPr>
          <w:b/>
          <w:iCs/>
          <w:sz w:val="20"/>
          <w:szCs w:val="20"/>
        </w:rPr>
        <w:t>Section 25(6)</w:t>
      </w:r>
    </w:p>
    <w:p w:rsidR="00DD73ED" w:rsidRPr="00B7774E" w:rsidRDefault="00DD73ED" w:rsidP="00DD73ED">
      <w:pPr>
        <w:spacing w:after="0"/>
        <w:ind w:left="426"/>
        <w:jc w:val="both"/>
        <w:rPr>
          <w:b/>
          <w:iCs/>
        </w:rPr>
      </w:pPr>
      <w:r w:rsidRPr="00B7774E">
        <w:rPr>
          <w:b/>
          <w:iCs/>
        </w:rPr>
        <w:t>Issue:</w:t>
      </w:r>
    </w:p>
    <w:p w:rsidR="00DD73ED" w:rsidRPr="00B7774E" w:rsidRDefault="00DD73ED" w:rsidP="00DD73ED">
      <w:pPr>
        <w:ind w:left="426"/>
        <w:jc w:val="both"/>
      </w:pPr>
      <w:r w:rsidRPr="00B7774E">
        <w:t xml:space="preserve">This section of the Act lists a number of instances where an injury is not considered to be related to a worker’s employment. This is to provide clarification in instances where there might otherwise be confusion </w:t>
      </w:r>
      <w:r w:rsidR="00A50B64">
        <w:t xml:space="preserve">about </w:t>
      </w:r>
      <w:r w:rsidRPr="00B7774E">
        <w:t xml:space="preserve">whether the injury is </w:t>
      </w:r>
      <w:r w:rsidR="00A50B64">
        <w:t>work</w:t>
      </w:r>
      <w:r w:rsidRPr="00B7774E">
        <w:t xml:space="preserve"> related or not. </w:t>
      </w:r>
    </w:p>
    <w:p w:rsidR="00DD73ED" w:rsidRPr="00B7774E" w:rsidRDefault="00F878D1" w:rsidP="00DD73ED">
      <w:pPr>
        <w:spacing w:after="0"/>
        <w:ind w:left="426"/>
        <w:jc w:val="both"/>
        <w:rPr>
          <w:b/>
          <w:iCs/>
        </w:rPr>
      </w:pPr>
      <w:r w:rsidRPr="00B7774E">
        <w:rPr>
          <w:b/>
          <w:iCs/>
        </w:rPr>
        <w:t>Potential amendment</w:t>
      </w:r>
      <w:r w:rsidR="00DD73ED" w:rsidRPr="00B7774E">
        <w:rPr>
          <w:b/>
          <w:iCs/>
        </w:rPr>
        <w:t>:</w:t>
      </w:r>
    </w:p>
    <w:p w:rsidR="00DD73ED" w:rsidRPr="00B7774E" w:rsidRDefault="00DD73ED" w:rsidP="00DD73ED">
      <w:pPr>
        <w:ind w:left="426"/>
        <w:jc w:val="both"/>
      </w:pPr>
      <w:r w:rsidRPr="00B7774E">
        <w:t>Retain the section but simplify the wording.</w:t>
      </w:r>
    </w:p>
    <w:p w:rsidR="009D50CF" w:rsidRPr="00B7774E" w:rsidRDefault="009D50CF" w:rsidP="00C02F2D">
      <w:pPr>
        <w:pStyle w:val="Heading3"/>
      </w:pPr>
      <w:r w:rsidRPr="00B7774E">
        <w:t>Legislative drafting errors</w:t>
      </w:r>
    </w:p>
    <w:p w:rsidR="00F21299" w:rsidRPr="00B7774E" w:rsidRDefault="00D964CA" w:rsidP="00F21299">
      <w:pPr>
        <w:pBdr>
          <w:bottom w:val="single" w:sz="4" w:space="1" w:color="808080" w:themeColor="background1" w:themeShade="80"/>
        </w:pBdr>
        <w:spacing w:after="140"/>
        <w:ind w:left="426"/>
        <w:jc w:val="both"/>
        <w:rPr>
          <w:b/>
          <w:iCs/>
          <w:sz w:val="20"/>
          <w:szCs w:val="20"/>
        </w:rPr>
      </w:pPr>
      <w:r w:rsidRPr="00B7774E">
        <w:rPr>
          <w:b/>
          <w:iCs/>
          <w:sz w:val="20"/>
          <w:szCs w:val="20"/>
        </w:rPr>
        <w:t>Relevant</w:t>
      </w:r>
      <w:r w:rsidR="00F21299" w:rsidRPr="00B7774E">
        <w:rPr>
          <w:b/>
          <w:iCs/>
          <w:sz w:val="20"/>
          <w:szCs w:val="20"/>
        </w:rPr>
        <w:t xml:space="preserve"> sections of the Act</w:t>
      </w:r>
      <w:r w:rsidRPr="00B7774E">
        <w:rPr>
          <w:b/>
          <w:iCs/>
          <w:sz w:val="20"/>
          <w:szCs w:val="20"/>
        </w:rPr>
        <w:t xml:space="preserve"> as shown below</w:t>
      </w:r>
    </w:p>
    <w:p w:rsidR="009D50CF" w:rsidRPr="00B7774E" w:rsidRDefault="009D50CF" w:rsidP="009D50CF">
      <w:pPr>
        <w:spacing w:after="0"/>
        <w:ind w:left="426"/>
        <w:jc w:val="both"/>
        <w:rPr>
          <w:b/>
          <w:iCs/>
        </w:rPr>
      </w:pPr>
      <w:r w:rsidRPr="00B7774E">
        <w:rPr>
          <w:b/>
          <w:iCs/>
        </w:rPr>
        <w:t>Issue:</w:t>
      </w:r>
    </w:p>
    <w:p w:rsidR="00B7774E" w:rsidRPr="00B7774E" w:rsidRDefault="009D50CF" w:rsidP="009D50CF">
      <w:pPr>
        <w:ind w:left="426"/>
        <w:jc w:val="both"/>
        <w:rPr>
          <w:iCs/>
        </w:rPr>
      </w:pPr>
      <w:r w:rsidRPr="00B7774E">
        <w:rPr>
          <w:iCs/>
        </w:rPr>
        <w:t>A number of minor amendments are proposed to various sections of the Act to correct drafting errors, unintended consequences or ambiguity</w:t>
      </w:r>
      <w:r w:rsidR="00A50B64">
        <w:rPr>
          <w:iCs/>
        </w:rPr>
        <w:t>:</w:t>
      </w:r>
    </w:p>
    <w:p w:rsidR="00B7774E" w:rsidRPr="00B7774E" w:rsidRDefault="00B7774E" w:rsidP="00B7774E">
      <w:r w:rsidRPr="00B7774E">
        <w:br w:type="page"/>
      </w:r>
    </w:p>
    <w:p w:rsidR="009D50CF" w:rsidRPr="00B7774E" w:rsidRDefault="009D50CF" w:rsidP="009D50CF">
      <w:pPr>
        <w:ind w:left="426"/>
        <w:jc w:val="both"/>
        <w:rPr>
          <w:iCs/>
        </w:rPr>
      </w:pPr>
    </w:p>
    <w:tbl>
      <w:tblPr>
        <w:tblStyle w:val="TableGrid"/>
        <w:tblW w:w="0" w:type="auto"/>
        <w:tblInd w:w="534" w:type="dxa"/>
        <w:tblBorders>
          <w:top w:val="single" w:sz="4" w:space="0" w:color="89CCFF"/>
          <w:left w:val="single" w:sz="4" w:space="0" w:color="89CCFF"/>
          <w:bottom w:val="single" w:sz="4" w:space="0" w:color="89CCFF"/>
          <w:right w:val="single" w:sz="4" w:space="0" w:color="89CCFF"/>
          <w:insideH w:val="single" w:sz="4" w:space="0" w:color="89CCFF"/>
          <w:insideV w:val="single" w:sz="4" w:space="0" w:color="89CCFF"/>
        </w:tblBorders>
        <w:tblLook w:val="04A0" w:firstRow="1" w:lastRow="0" w:firstColumn="1" w:lastColumn="0" w:noHBand="0" w:noVBand="1"/>
      </w:tblPr>
      <w:tblGrid>
        <w:gridCol w:w="2551"/>
        <w:gridCol w:w="5954"/>
      </w:tblGrid>
      <w:tr w:rsidR="009D50CF" w:rsidRPr="00B7774E" w:rsidTr="00E64AB9">
        <w:trPr>
          <w:tblHeader/>
        </w:trPr>
        <w:tc>
          <w:tcPr>
            <w:tcW w:w="2551" w:type="dxa"/>
            <w:shd w:val="clear" w:color="auto" w:fill="0070C0"/>
          </w:tcPr>
          <w:p w:rsidR="009D50CF" w:rsidRPr="00B7774E" w:rsidRDefault="00B2581E" w:rsidP="00E64AB9">
            <w:pPr>
              <w:pStyle w:val="Paragraph"/>
              <w:spacing w:before="120" w:after="120"/>
              <w:rPr>
                <w:rFonts w:asciiTheme="minorHAnsi" w:hAnsiTheme="minorHAnsi" w:cs="Arial"/>
                <w:b/>
              </w:rPr>
            </w:pPr>
            <w:r w:rsidRPr="00B7774E">
              <w:rPr>
                <w:rFonts w:asciiTheme="minorHAnsi" w:hAnsiTheme="minorHAnsi" w:cs="Arial"/>
                <w:b/>
              </w:rPr>
              <w:t>Relevant s</w:t>
            </w:r>
            <w:r w:rsidR="009D50CF" w:rsidRPr="00B7774E">
              <w:rPr>
                <w:rFonts w:asciiTheme="minorHAnsi" w:hAnsiTheme="minorHAnsi" w:cs="Arial"/>
                <w:b/>
              </w:rPr>
              <w:t xml:space="preserve">ection </w:t>
            </w:r>
          </w:p>
        </w:tc>
        <w:tc>
          <w:tcPr>
            <w:tcW w:w="5954" w:type="dxa"/>
            <w:shd w:val="clear" w:color="auto" w:fill="0070C0"/>
          </w:tcPr>
          <w:p w:rsidR="009D50CF" w:rsidRPr="00B7774E" w:rsidRDefault="009D50CF" w:rsidP="00E64AB9">
            <w:pPr>
              <w:pStyle w:val="Paragraph"/>
              <w:spacing w:before="120" w:after="120"/>
              <w:rPr>
                <w:rFonts w:asciiTheme="minorHAnsi" w:hAnsiTheme="minorHAnsi" w:cs="Arial"/>
                <w:b/>
              </w:rPr>
            </w:pPr>
            <w:r w:rsidRPr="00B7774E">
              <w:rPr>
                <w:rFonts w:asciiTheme="minorHAnsi" w:hAnsiTheme="minorHAnsi" w:cs="Arial"/>
                <w:b/>
              </w:rPr>
              <w:t>Proposed amendment</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Definition of Medical Practitioner </w:t>
            </w:r>
          </w:p>
          <w:p w:rsidR="009D50CF" w:rsidRPr="00B7774E" w:rsidRDefault="009D50CF" w:rsidP="00E64AB9">
            <w:pPr>
              <w:pStyle w:val="Paragraph"/>
              <w:spacing w:before="120" w:after="120"/>
              <w:ind w:left="284"/>
              <w:jc w:val="left"/>
              <w:rPr>
                <w:rFonts w:asciiTheme="minorHAnsi" w:hAnsiTheme="minorHAnsi" w:cs="Arial"/>
              </w:rPr>
            </w:pPr>
            <w:r w:rsidRPr="00B7774E">
              <w:rPr>
                <w:rFonts w:asciiTheme="minorHAnsi" w:eastAsiaTheme="minorHAnsi" w:hAnsiTheme="minorHAnsi" w:cstheme="minorBidi"/>
                <w:b/>
                <w:iCs/>
                <w:lang w:eastAsia="en-US"/>
              </w:rPr>
              <w:t>Section 3(1)</w:t>
            </w:r>
            <w:r w:rsidRPr="00B7774E">
              <w:rPr>
                <w:rFonts w:asciiTheme="minorHAnsi" w:hAnsiTheme="minorHAnsi" w:cs="Arial"/>
              </w:rPr>
              <w:t xml:space="preserve"> </w:t>
            </w:r>
          </w:p>
        </w:tc>
        <w:tc>
          <w:tcPr>
            <w:tcW w:w="5954" w:type="dxa"/>
          </w:tcPr>
          <w:p w:rsidR="009D50CF" w:rsidRPr="00AD25C9" w:rsidRDefault="009D50CF" w:rsidP="00E64AB9">
            <w:pPr>
              <w:spacing w:before="120" w:after="120"/>
              <w:jc w:val="both"/>
              <w:rPr>
                <w:rFonts w:asciiTheme="minorHAnsi" w:hAnsiTheme="minorHAnsi"/>
              </w:rPr>
            </w:pPr>
            <w:r w:rsidRPr="00AD25C9">
              <w:rPr>
                <w:rFonts w:asciiTheme="minorHAnsi" w:hAnsiTheme="minorHAnsi"/>
              </w:rPr>
              <w:t xml:space="preserve">The term </w:t>
            </w:r>
            <w:r w:rsidR="00AD25C9" w:rsidRPr="00AD25C9">
              <w:rPr>
                <w:rFonts w:asciiTheme="minorHAnsi" w:hAnsiTheme="minorHAnsi"/>
              </w:rPr>
              <w:t>‘</w:t>
            </w:r>
            <w:r w:rsidRPr="00AD25C9">
              <w:rPr>
                <w:rFonts w:asciiTheme="minorHAnsi" w:hAnsiTheme="minorHAnsi"/>
              </w:rPr>
              <w:t>medical practitioner</w:t>
            </w:r>
            <w:r w:rsidR="00AD25C9" w:rsidRPr="00AD25C9">
              <w:rPr>
                <w:rFonts w:asciiTheme="minorHAnsi" w:hAnsiTheme="minorHAnsi"/>
              </w:rPr>
              <w:t>’</w:t>
            </w:r>
            <w:r w:rsidRPr="00AD25C9">
              <w:rPr>
                <w:rFonts w:asciiTheme="minorHAnsi" w:hAnsiTheme="minorHAnsi"/>
              </w:rPr>
              <w:t xml:space="preserve"> is used throughout the Act, but is not defined there. The </w:t>
            </w:r>
            <w:r w:rsidR="002B7B0C" w:rsidRPr="00AD25C9">
              <w:rPr>
                <w:rFonts w:asciiTheme="minorHAnsi" w:hAnsiTheme="minorHAnsi"/>
              </w:rPr>
              <w:t>term is defined</w:t>
            </w:r>
            <w:r w:rsidRPr="00AD25C9">
              <w:rPr>
                <w:rFonts w:asciiTheme="minorHAnsi" w:hAnsiTheme="minorHAnsi"/>
              </w:rPr>
              <w:t xml:space="preserve"> in Section 46 of the Acts Interpretation Act</w:t>
            </w:r>
            <w:r w:rsidR="00AD25C9" w:rsidRPr="00AD25C9">
              <w:rPr>
                <w:rFonts w:asciiTheme="minorHAnsi" w:hAnsiTheme="minorHAnsi"/>
              </w:rPr>
              <w:t>: ‘</w:t>
            </w:r>
            <w:r w:rsidRPr="00AD25C9">
              <w:rPr>
                <w:rFonts w:asciiTheme="minorHAnsi" w:hAnsiTheme="minorHAnsi"/>
              </w:rPr>
              <w:t>a person registered under the Health Practitioner Regulation National Law (Tasmania) in the medical profession</w:t>
            </w:r>
            <w:r w:rsidR="00AD25C9" w:rsidRPr="00AD25C9">
              <w:rPr>
                <w:rFonts w:asciiTheme="minorHAnsi" w:hAnsiTheme="minorHAnsi"/>
              </w:rPr>
              <w:t>’</w:t>
            </w:r>
            <w:r w:rsidRPr="00AD25C9">
              <w:rPr>
                <w:rFonts w:asciiTheme="minorHAnsi" w:hAnsiTheme="minorHAnsi"/>
              </w:rPr>
              <w:t>.</w:t>
            </w:r>
          </w:p>
          <w:p w:rsidR="0000439F" w:rsidRPr="00AD25C9" w:rsidRDefault="009D50CF" w:rsidP="002B7B0C">
            <w:pPr>
              <w:pStyle w:val="Paragraph"/>
              <w:spacing w:before="120" w:after="120"/>
              <w:rPr>
                <w:rFonts w:asciiTheme="minorHAnsi" w:hAnsiTheme="minorHAnsi"/>
                <w:lang w:val="en-US"/>
              </w:rPr>
            </w:pPr>
            <w:r w:rsidRPr="00AD25C9">
              <w:rPr>
                <w:rFonts w:asciiTheme="minorHAnsi" w:hAnsiTheme="minorHAnsi"/>
                <w:lang w:val="en-US"/>
              </w:rPr>
              <w:t>An unintended consequence of applying this definition in</w:t>
            </w:r>
            <w:r w:rsidRPr="00AD25C9">
              <w:rPr>
                <w:rFonts w:asciiTheme="minorHAnsi" w:hAnsiTheme="minorHAnsi"/>
              </w:rPr>
              <w:t xml:space="preserve"> the context</w:t>
            </w:r>
            <w:r w:rsidR="0080436F" w:rsidRPr="00AD25C9">
              <w:rPr>
                <w:rFonts w:asciiTheme="minorHAnsi" w:hAnsiTheme="minorHAnsi"/>
              </w:rPr>
              <w:t xml:space="preserve"> </w:t>
            </w:r>
            <w:r w:rsidRPr="00AD25C9">
              <w:rPr>
                <w:rFonts w:asciiTheme="minorHAnsi" w:hAnsiTheme="minorHAnsi"/>
              </w:rPr>
              <w:t xml:space="preserve">of the Act </w:t>
            </w:r>
            <w:r w:rsidRPr="00AD25C9">
              <w:rPr>
                <w:rFonts w:asciiTheme="minorHAnsi" w:hAnsiTheme="minorHAnsi"/>
                <w:lang w:val="en-US"/>
              </w:rPr>
              <w:t xml:space="preserve">is that a legally qualified medical practitioner of another country is not able to issue a certificate or provide treatment. </w:t>
            </w:r>
          </w:p>
          <w:p w:rsidR="009D50CF" w:rsidRPr="00AD25C9" w:rsidRDefault="009D50CF" w:rsidP="00AD25C9">
            <w:pPr>
              <w:pStyle w:val="Paragraph"/>
              <w:spacing w:before="120" w:after="120"/>
              <w:rPr>
                <w:rFonts w:asciiTheme="minorHAnsi" w:hAnsiTheme="minorHAnsi" w:cs="Arial"/>
              </w:rPr>
            </w:pPr>
            <w:r w:rsidRPr="00AD25C9">
              <w:rPr>
                <w:rFonts w:asciiTheme="minorHAnsi" w:hAnsiTheme="minorHAnsi"/>
                <w:lang w:val="en-US"/>
              </w:rPr>
              <w:t xml:space="preserve">It </w:t>
            </w:r>
            <w:proofErr w:type="gramStart"/>
            <w:r w:rsidRPr="00AD25C9">
              <w:rPr>
                <w:rFonts w:asciiTheme="minorHAnsi" w:hAnsiTheme="minorHAnsi"/>
                <w:lang w:val="en-US"/>
              </w:rPr>
              <w:t>is proposed</w:t>
            </w:r>
            <w:proofErr w:type="gramEnd"/>
            <w:r w:rsidRPr="00AD25C9">
              <w:rPr>
                <w:rFonts w:asciiTheme="minorHAnsi" w:hAnsiTheme="minorHAnsi"/>
                <w:lang w:val="en-US"/>
              </w:rPr>
              <w:t xml:space="preserve"> to </w:t>
            </w:r>
            <w:r w:rsidR="002B7B0C" w:rsidRPr="00AD25C9">
              <w:rPr>
                <w:rFonts w:asciiTheme="minorHAnsi" w:hAnsiTheme="minorHAnsi"/>
                <w:lang w:val="en-US"/>
              </w:rPr>
              <w:t>add a broader definition to the</w:t>
            </w:r>
            <w:r w:rsidR="002B7B0C" w:rsidRPr="00AD25C9">
              <w:rPr>
                <w:rFonts w:asciiTheme="minorHAnsi" w:hAnsiTheme="minorHAnsi"/>
              </w:rPr>
              <w:t xml:space="preserve"> Act</w:t>
            </w:r>
            <w:r w:rsidRPr="00AD25C9">
              <w:rPr>
                <w:rFonts w:asciiTheme="minorHAnsi" w:hAnsiTheme="minorHAnsi"/>
                <w:lang w:val="en-US"/>
              </w:rPr>
              <w:t xml:space="preserve"> to </w:t>
            </w:r>
            <w:r w:rsidR="002B7B0C" w:rsidRPr="00AD25C9">
              <w:rPr>
                <w:rFonts w:asciiTheme="minorHAnsi" w:hAnsiTheme="minorHAnsi"/>
                <w:lang w:val="en-US"/>
              </w:rPr>
              <w:t>rectify</w:t>
            </w:r>
            <w:r w:rsidRPr="00AD25C9">
              <w:rPr>
                <w:rFonts w:asciiTheme="minorHAnsi" w:hAnsiTheme="minorHAnsi"/>
                <w:lang w:val="en-US"/>
              </w:rPr>
              <w:t xml:space="preserve"> this </w:t>
            </w:r>
            <w:r w:rsidR="002B7B0C" w:rsidRPr="00AD25C9">
              <w:rPr>
                <w:rFonts w:asciiTheme="minorHAnsi" w:hAnsiTheme="minorHAnsi"/>
                <w:lang w:val="en-US"/>
              </w:rPr>
              <w:t>issue</w:t>
            </w:r>
            <w:r w:rsidRPr="00AD25C9">
              <w:rPr>
                <w:rFonts w:asciiTheme="minorHAnsi" w:hAnsiTheme="minorHAnsi"/>
                <w:lang w:val="en-US"/>
              </w:rPr>
              <w:t xml:space="preserve">. </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Non-application of Act </w:t>
            </w:r>
          </w:p>
          <w:p w:rsidR="009D50CF" w:rsidRPr="00B7774E" w:rsidRDefault="009D50CF" w:rsidP="00E64AB9">
            <w:pPr>
              <w:pStyle w:val="Paragraph"/>
              <w:spacing w:before="0" w:after="120"/>
              <w:ind w:left="284"/>
              <w:jc w:val="left"/>
              <w:rPr>
                <w:rFonts w:asciiTheme="minorHAnsi" w:eastAsiaTheme="minorHAnsi" w:hAnsiTheme="minorHAnsi" w:cstheme="minorBidi"/>
                <w:b/>
                <w:iCs/>
                <w:lang w:eastAsia="en-US"/>
              </w:rPr>
            </w:pPr>
            <w:r w:rsidRPr="00B7774E">
              <w:rPr>
                <w:rFonts w:asciiTheme="minorHAnsi" w:eastAsiaTheme="minorHAnsi" w:hAnsiTheme="minorHAnsi" w:cstheme="minorBidi"/>
                <w:b/>
                <w:iCs/>
                <w:lang w:eastAsia="en-US"/>
              </w:rPr>
              <w:t xml:space="preserve">Section 4(5) </w:t>
            </w:r>
          </w:p>
          <w:p w:rsidR="009D50CF" w:rsidRPr="00B7774E" w:rsidRDefault="009D50CF" w:rsidP="00E64AB9">
            <w:pPr>
              <w:pStyle w:val="Paragraph"/>
              <w:spacing w:before="120" w:after="120"/>
              <w:jc w:val="left"/>
              <w:rPr>
                <w:rFonts w:asciiTheme="minorHAnsi" w:hAnsiTheme="minorHAnsi" w:cs="Arial"/>
              </w:rPr>
            </w:pPr>
          </w:p>
        </w:tc>
        <w:tc>
          <w:tcPr>
            <w:tcW w:w="5954" w:type="dxa"/>
          </w:tcPr>
          <w:p w:rsidR="009D50CF" w:rsidRPr="00AD25C9" w:rsidRDefault="00947B5A" w:rsidP="00E64AB9">
            <w:pPr>
              <w:spacing w:before="120" w:after="120"/>
              <w:jc w:val="both"/>
              <w:rPr>
                <w:rFonts w:asciiTheme="minorHAnsi" w:hAnsiTheme="minorHAnsi"/>
                <w:lang w:val="en-US"/>
              </w:rPr>
            </w:pPr>
            <w:r>
              <w:rPr>
                <w:rFonts w:asciiTheme="minorHAnsi" w:hAnsiTheme="minorHAnsi"/>
                <w:lang w:val="en-US"/>
              </w:rPr>
              <w:t>Amend</w:t>
            </w:r>
            <w:r w:rsidR="009D50CF" w:rsidRPr="00AD25C9">
              <w:rPr>
                <w:rFonts w:asciiTheme="minorHAnsi" w:hAnsiTheme="minorHAnsi"/>
                <w:lang w:val="en-US"/>
              </w:rPr>
              <w:t xml:space="preserve"> to exclude Commonwealth employees and workers employed by Commonwealth self-insurers under the Safety Rehabilitation and Compensation Act 1988 (</w:t>
            </w:r>
            <w:proofErr w:type="spellStart"/>
            <w:r w:rsidR="009D50CF" w:rsidRPr="00AD25C9">
              <w:rPr>
                <w:rFonts w:asciiTheme="minorHAnsi" w:hAnsiTheme="minorHAnsi"/>
                <w:lang w:val="en-US"/>
              </w:rPr>
              <w:t>Cth</w:t>
            </w:r>
            <w:proofErr w:type="spellEnd"/>
            <w:r w:rsidR="009D50CF" w:rsidRPr="00AD25C9">
              <w:rPr>
                <w:rFonts w:asciiTheme="minorHAnsi" w:hAnsiTheme="minorHAnsi"/>
                <w:lang w:val="en-US"/>
              </w:rPr>
              <w:t>).</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Assessment of degree of impairment </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72</w:t>
            </w:r>
          </w:p>
        </w:tc>
        <w:tc>
          <w:tcPr>
            <w:tcW w:w="5954" w:type="dxa"/>
          </w:tcPr>
          <w:p w:rsidR="009D50CF" w:rsidRPr="00AD25C9" w:rsidRDefault="00EF2708" w:rsidP="00E64AB9">
            <w:pPr>
              <w:spacing w:before="120" w:after="120"/>
              <w:jc w:val="both"/>
              <w:rPr>
                <w:rFonts w:asciiTheme="minorHAnsi" w:hAnsiTheme="minorHAnsi"/>
                <w:lang w:val="en-US"/>
              </w:rPr>
            </w:pPr>
            <w:r w:rsidRPr="00AD25C9">
              <w:rPr>
                <w:rFonts w:asciiTheme="minorHAnsi" w:hAnsiTheme="minorHAnsi"/>
                <w:lang w:val="en-US"/>
              </w:rPr>
              <w:t>A</w:t>
            </w:r>
            <w:r w:rsidR="009D50CF" w:rsidRPr="00AD25C9">
              <w:rPr>
                <w:rFonts w:asciiTheme="minorHAnsi" w:hAnsiTheme="minorHAnsi"/>
                <w:lang w:val="en-US"/>
              </w:rPr>
              <w:t>mend the process for the issuing of Impairment Assessment Guidelines to provide clarity about when the Guidelines apply. It is important that there is certainty around the commencement and application of the Guideline issued by the Board.</w:t>
            </w:r>
            <w:r w:rsidR="0080436F" w:rsidRPr="00AD25C9">
              <w:rPr>
                <w:rFonts w:asciiTheme="minorHAnsi" w:hAnsiTheme="minorHAnsi"/>
                <w:lang w:val="en-US"/>
              </w:rPr>
              <w:t xml:space="preserve"> </w:t>
            </w:r>
            <w:r w:rsidR="009D50CF" w:rsidRPr="00AD25C9">
              <w:rPr>
                <w:rFonts w:asciiTheme="minorHAnsi" w:hAnsiTheme="minorHAnsi"/>
                <w:lang w:val="en-US"/>
              </w:rPr>
              <w:t>Amendments may include a more formal process of Gazettal of new Guidelines.</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Additional compensation for travelling expenses </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76(1)(a)</w:t>
            </w:r>
          </w:p>
        </w:tc>
        <w:tc>
          <w:tcPr>
            <w:tcW w:w="5954" w:type="dxa"/>
          </w:tcPr>
          <w:p w:rsidR="009D50CF" w:rsidRPr="00AD25C9" w:rsidRDefault="009D50CF" w:rsidP="00947B5A">
            <w:pPr>
              <w:spacing w:before="120" w:after="120"/>
              <w:jc w:val="both"/>
              <w:rPr>
                <w:rFonts w:asciiTheme="minorHAnsi" w:hAnsiTheme="minorHAnsi"/>
                <w:lang w:val="en-US"/>
              </w:rPr>
            </w:pPr>
            <w:r w:rsidRPr="00AD25C9">
              <w:rPr>
                <w:rFonts w:asciiTheme="minorHAnsi" w:hAnsiTheme="minorHAnsi"/>
                <w:lang w:val="en-US"/>
              </w:rPr>
              <w:t>This provision refers to medical examinations conducted under section 85 of the Act.</w:t>
            </w:r>
            <w:r w:rsidR="0080436F" w:rsidRPr="00AD25C9">
              <w:rPr>
                <w:rFonts w:asciiTheme="minorHAnsi" w:hAnsiTheme="minorHAnsi"/>
                <w:lang w:val="en-US"/>
              </w:rPr>
              <w:t xml:space="preserve"> </w:t>
            </w:r>
            <w:r w:rsidRPr="00AD25C9">
              <w:rPr>
                <w:rFonts w:asciiTheme="minorHAnsi" w:hAnsiTheme="minorHAnsi"/>
                <w:lang w:val="en-US"/>
              </w:rPr>
              <w:t xml:space="preserve">However, Section 85 </w:t>
            </w:r>
            <w:proofErr w:type="gramStart"/>
            <w:r w:rsidRPr="00AD25C9">
              <w:rPr>
                <w:rFonts w:asciiTheme="minorHAnsi" w:hAnsiTheme="minorHAnsi"/>
                <w:lang w:val="en-US"/>
              </w:rPr>
              <w:t xml:space="preserve">has </w:t>
            </w:r>
            <w:r w:rsidR="00EF2708" w:rsidRPr="00AD25C9">
              <w:rPr>
                <w:rFonts w:asciiTheme="minorHAnsi" w:hAnsiTheme="minorHAnsi"/>
                <w:lang w:val="en-US"/>
              </w:rPr>
              <w:t xml:space="preserve">since </w:t>
            </w:r>
            <w:r w:rsidRPr="00AD25C9">
              <w:rPr>
                <w:rFonts w:asciiTheme="minorHAnsi" w:hAnsiTheme="minorHAnsi"/>
                <w:lang w:val="en-US"/>
              </w:rPr>
              <w:t>been repealed</w:t>
            </w:r>
            <w:proofErr w:type="gramEnd"/>
            <w:r w:rsidRPr="00AD25C9">
              <w:rPr>
                <w:rFonts w:asciiTheme="minorHAnsi" w:hAnsiTheme="minorHAnsi"/>
                <w:lang w:val="en-US"/>
              </w:rPr>
              <w:t>.</w:t>
            </w:r>
            <w:r w:rsidR="0080436F" w:rsidRPr="00AD25C9">
              <w:rPr>
                <w:rFonts w:asciiTheme="minorHAnsi" w:hAnsiTheme="minorHAnsi"/>
                <w:lang w:val="en-US"/>
              </w:rPr>
              <w:t xml:space="preserve"> </w:t>
            </w:r>
            <w:r w:rsidR="00947B5A">
              <w:rPr>
                <w:rFonts w:asciiTheme="minorHAnsi" w:hAnsiTheme="minorHAnsi"/>
                <w:lang w:val="en-US"/>
              </w:rPr>
              <w:t>A</w:t>
            </w:r>
            <w:r w:rsidRPr="00AD25C9">
              <w:rPr>
                <w:rFonts w:asciiTheme="minorHAnsi" w:hAnsiTheme="minorHAnsi"/>
                <w:lang w:val="en-US"/>
              </w:rPr>
              <w:t xml:space="preserve">mend the reference to </w:t>
            </w:r>
            <w:r w:rsidR="00EF2708" w:rsidRPr="00AD25C9">
              <w:rPr>
                <w:rFonts w:asciiTheme="minorHAnsi" w:hAnsiTheme="minorHAnsi"/>
                <w:lang w:val="en-US"/>
              </w:rPr>
              <w:t xml:space="preserve">now </w:t>
            </w:r>
            <w:r w:rsidRPr="00AD25C9">
              <w:rPr>
                <w:rFonts w:asciiTheme="minorHAnsi" w:hAnsiTheme="minorHAnsi"/>
                <w:lang w:val="en-US"/>
              </w:rPr>
              <w:t xml:space="preserve">refer to section </w:t>
            </w:r>
            <w:proofErr w:type="gramStart"/>
            <w:r w:rsidRPr="00AD25C9">
              <w:rPr>
                <w:rFonts w:asciiTheme="minorHAnsi" w:hAnsiTheme="minorHAnsi"/>
                <w:lang w:val="en-US"/>
              </w:rPr>
              <w:t>90A(</w:t>
            </w:r>
            <w:proofErr w:type="gramEnd"/>
            <w:r w:rsidRPr="00AD25C9">
              <w:rPr>
                <w:rFonts w:asciiTheme="minorHAnsi" w:hAnsiTheme="minorHAnsi"/>
                <w:lang w:val="en-US"/>
              </w:rPr>
              <w:t>2), which allows employers/insurers to require a worker to undergo an independent medical review.</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Obligation of employers to insure </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97(1)(b)</w:t>
            </w:r>
          </w:p>
        </w:tc>
        <w:tc>
          <w:tcPr>
            <w:tcW w:w="5954" w:type="dxa"/>
          </w:tcPr>
          <w:p w:rsidR="009D50CF" w:rsidRPr="00AD25C9" w:rsidRDefault="009D50CF" w:rsidP="00947B5A">
            <w:pPr>
              <w:spacing w:before="120" w:after="120"/>
              <w:jc w:val="both"/>
              <w:rPr>
                <w:rFonts w:asciiTheme="minorHAnsi" w:hAnsiTheme="minorHAnsi"/>
                <w:lang w:val="en-US"/>
              </w:rPr>
            </w:pPr>
            <w:r w:rsidRPr="00AD25C9">
              <w:rPr>
                <w:rFonts w:asciiTheme="minorHAnsi" w:hAnsiTheme="minorHAnsi"/>
                <w:lang w:val="en-US"/>
              </w:rPr>
              <w:t>Amend the wording of section 97(1</w:t>
            </w:r>
            <w:proofErr w:type="gramStart"/>
            <w:r w:rsidRPr="00AD25C9">
              <w:rPr>
                <w:rFonts w:asciiTheme="minorHAnsi" w:hAnsiTheme="minorHAnsi"/>
                <w:lang w:val="en-US"/>
              </w:rPr>
              <w:t>)(</w:t>
            </w:r>
            <w:proofErr w:type="gramEnd"/>
            <w:r w:rsidRPr="00AD25C9">
              <w:rPr>
                <w:rFonts w:asciiTheme="minorHAnsi" w:hAnsiTheme="minorHAnsi"/>
                <w:lang w:val="en-US"/>
              </w:rPr>
              <w:t>b)</w:t>
            </w:r>
            <w:r w:rsidR="00A50B64">
              <w:rPr>
                <w:rFonts w:asciiTheme="minorHAnsi" w:hAnsiTheme="minorHAnsi"/>
                <w:lang w:val="en-US"/>
              </w:rPr>
              <w:t>:</w:t>
            </w:r>
            <w:r w:rsidRPr="00AD25C9">
              <w:rPr>
                <w:rFonts w:asciiTheme="minorHAnsi" w:hAnsiTheme="minorHAnsi"/>
                <w:lang w:val="en-US"/>
              </w:rPr>
              <w:t xml:space="preserve"> </w:t>
            </w:r>
            <w:r w:rsidR="00AD25C9">
              <w:rPr>
                <w:rFonts w:asciiTheme="minorHAnsi" w:hAnsiTheme="minorHAnsi"/>
                <w:lang w:val="en-US"/>
              </w:rPr>
              <w:t>‘</w:t>
            </w:r>
            <w:r w:rsidRPr="00AD25C9">
              <w:rPr>
                <w:rFonts w:asciiTheme="minorHAnsi" w:hAnsiTheme="minorHAnsi"/>
                <w:lang w:val="en-US"/>
              </w:rPr>
              <w:t>arising out of and in the course of</w:t>
            </w:r>
            <w:r w:rsidR="00AD25C9">
              <w:rPr>
                <w:rFonts w:asciiTheme="minorHAnsi" w:hAnsiTheme="minorHAnsi"/>
                <w:lang w:val="en-US"/>
              </w:rPr>
              <w:t>’</w:t>
            </w:r>
            <w:r w:rsidRPr="00AD25C9">
              <w:rPr>
                <w:rFonts w:asciiTheme="minorHAnsi" w:hAnsiTheme="minorHAnsi"/>
                <w:lang w:val="en-US"/>
              </w:rPr>
              <w:t xml:space="preserve"> employment to </w:t>
            </w:r>
            <w:r w:rsidR="00AD25C9">
              <w:rPr>
                <w:rFonts w:asciiTheme="minorHAnsi" w:hAnsiTheme="minorHAnsi"/>
                <w:lang w:val="en-US"/>
              </w:rPr>
              <w:t>‘</w:t>
            </w:r>
            <w:r w:rsidRPr="00AD25C9">
              <w:rPr>
                <w:rFonts w:asciiTheme="minorHAnsi" w:hAnsiTheme="minorHAnsi"/>
                <w:lang w:val="en-US"/>
              </w:rPr>
              <w:t>arising out of or in the course of</w:t>
            </w:r>
            <w:r w:rsidR="00EF2708" w:rsidRPr="00AD25C9">
              <w:rPr>
                <w:rFonts w:asciiTheme="minorHAnsi" w:hAnsiTheme="minorHAnsi"/>
                <w:lang w:val="en-US"/>
              </w:rPr>
              <w:t>…</w:t>
            </w:r>
            <w:r w:rsidR="00AD25C9">
              <w:rPr>
                <w:rFonts w:asciiTheme="minorHAnsi" w:hAnsiTheme="minorHAnsi"/>
                <w:lang w:val="en-US"/>
              </w:rPr>
              <w:t>’</w:t>
            </w:r>
            <w:r w:rsidRPr="00AD25C9">
              <w:rPr>
                <w:rFonts w:asciiTheme="minorHAnsi" w:hAnsiTheme="minorHAnsi"/>
                <w:lang w:val="en-US"/>
              </w:rPr>
              <w:t xml:space="preserve">. This is to </w:t>
            </w:r>
            <w:r w:rsidR="00947B5A">
              <w:rPr>
                <w:rFonts w:asciiTheme="minorHAnsi" w:hAnsiTheme="minorHAnsi"/>
                <w:lang w:val="en-US"/>
              </w:rPr>
              <w:t>be consistent</w:t>
            </w:r>
            <w:r w:rsidRPr="00AD25C9">
              <w:rPr>
                <w:rFonts w:asciiTheme="minorHAnsi" w:hAnsiTheme="minorHAnsi"/>
                <w:lang w:val="en-US"/>
              </w:rPr>
              <w:t xml:space="preserve"> with section 25(1).</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Employer obligations on termination of policy</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97(7)</w:t>
            </w:r>
            <w:r w:rsidRPr="00B7774E">
              <w:rPr>
                <w:rFonts w:asciiTheme="minorHAnsi" w:hAnsiTheme="minorHAnsi"/>
                <w:lang w:val="en-US"/>
              </w:rPr>
              <w:t xml:space="preserve"> </w:t>
            </w:r>
          </w:p>
        </w:tc>
        <w:tc>
          <w:tcPr>
            <w:tcW w:w="5954" w:type="dxa"/>
          </w:tcPr>
          <w:p w:rsidR="009D50CF" w:rsidRPr="00AD25C9" w:rsidRDefault="009D50CF" w:rsidP="00947B5A">
            <w:pPr>
              <w:spacing w:before="120" w:after="120"/>
              <w:jc w:val="both"/>
              <w:rPr>
                <w:rFonts w:asciiTheme="minorHAnsi" w:hAnsiTheme="minorHAnsi"/>
                <w:lang w:val="en-US"/>
              </w:rPr>
            </w:pPr>
            <w:r w:rsidRPr="00AD25C9">
              <w:rPr>
                <w:rFonts w:asciiTheme="minorHAnsi" w:hAnsiTheme="minorHAnsi"/>
                <w:lang w:val="en-US"/>
              </w:rPr>
              <w:t xml:space="preserve">Replace the word </w:t>
            </w:r>
            <w:r w:rsidR="00AD25C9">
              <w:rPr>
                <w:rFonts w:asciiTheme="minorHAnsi" w:hAnsiTheme="minorHAnsi"/>
                <w:lang w:val="en-US"/>
              </w:rPr>
              <w:t>‘</w:t>
            </w:r>
            <w:r w:rsidRPr="00AD25C9">
              <w:rPr>
                <w:rFonts w:asciiTheme="minorHAnsi" w:hAnsiTheme="minorHAnsi"/>
                <w:lang w:val="en-US"/>
              </w:rPr>
              <w:t>termination</w:t>
            </w:r>
            <w:r w:rsidR="00AD25C9">
              <w:rPr>
                <w:rFonts w:asciiTheme="minorHAnsi" w:hAnsiTheme="minorHAnsi"/>
                <w:lang w:val="en-US"/>
              </w:rPr>
              <w:t>’</w:t>
            </w:r>
            <w:r w:rsidRPr="00AD25C9">
              <w:rPr>
                <w:rFonts w:asciiTheme="minorHAnsi" w:hAnsiTheme="minorHAnsi"/>
                <w:lang w:val="en-US"/>
              </w:rPr>
              <w:t xml:space="preserve"> with </w:t>
            </w:r>
            <w:r w:rsidR="00AD25C9">
              <w:rPr>
                <w:rFonts w:asciiTheme="minorHAnsi" w:hAnsiTheme="minorHAnsi"/>
                <w:lang w:val="en-US"/>
              </w:rPr>
              <w:t>‘</w:t>
            </w:r>
            <w:r w:rsidRPr="00AD25C9">
              <w:rPr>
                <w:rFonts w:asciiTheme="minorHAnsi" w:hAnsiTheme="minorHAnsi"/>
                <w:lang w:val="en-US"/>
              </w:rPr>
              <w:t>expiration</w:t>
            </w:r>
            <w:r w:rsidR="00AD25C9">
              <w:rPr>
                <w:rFonts w:asciiTheme="minorHAnsi" w:hAnsiTheme="minorHAnsi"/>
                <w:lang w:val="en-US"/>
              </w:rPr>
              <w:t>’</w:t>
            </w:r>
            <w:r w:rsidRPr="00AD25C9">
              <w:rPr>
                <w:rFonts w:asciiTheme="minorHAnsi" w:hAnsiTheme="minorHAnsi"/>
                <w:lang w:val="en-US"/>
              </w:rPr>
              <w:t xml:space="preserve"> to </w:t>
            </w:r>
            <w:r w:rsidR="00947B5A">
              <w:rPr>
                <w:rFonts w:asciiTheme="minorHAnsi" w:hAnsiTheme="minorHAnsi"/>
                <w:lang w:val="en-US"/>
              </w:rPr>
              <w:t xml:space="preserve">be </w:t>
            </w:r>
            <w:proofErr w:type="spellStart"/>
            <w:r w:rsidR="00947B5A">
              <w:rPr>
                <w:rFonts w:asciiTheme="minorHAnsi" w:hAnsiTheme="minorHAnsi"/>
                <w:lang w:val="en-US"/>
              </w:rPr>
              <w:t>consistenct</w:t>
            </w:r>
            <w:proofErr w:type="spellEnd"/>
            <w:r w:rsidRPr="00AD25C9">
              <w:rPr>
                <w:rFonts w:asciiTheme="minorHAnsi" w:hAnsiTheme="minorHAnsi"/>
                <w:lang w:val="en-US"/>
              </w:rPr>
              <w:t xml:space="preserve"> with section 97AA.</w:t>
            </w:r>
            <w:r w:rsidR="0080436F" w:rsidRPr="00AD25C9">
              <w:rPr>
                <w:rFonts w:asciiTheme="minorHAnsi" w:hAnsiTheme="minorHAnsi"/>
                <w:lang w:val="en-US"/>
              </w:rPr>
              <w:t xml:space="preserve"> </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Maintenance of secrecy </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158</w:t>
            </w:r>
          </w:p>
        </w:tc>
        <w:tc>
          <w:tcPr>
            <w:tcW w:w="5954" w:type="dxa"/>
          </w:tcPr>
          <w:p w:rsidR="009D50CF" w:rsidRPr="00AD25C9" w:rsidRDefault="00947B5A" w:rsidP="00947B5A">
            <w:pPr>
              <w:spacing w:before="120" w:after="120"/>
              <w:jc w:val="both"/>
              <w:rPr>
                <w:rFonts w:asciiTheme="minorHAnsi" w:hAnsiTheme="minorHAnsi"/>
                <w:lang w:val="en-US"/>
              </w:rPr>
            </w:pPr>
            <w:r>
              <w:rPr>
                <w:rFonts w:asciiTheme="minorHAnsi" w:hAnsiTheme="minorHAnsi"/>
                <w:lang w:val="en-US"/>
              </w:rPr>
              <w:t>A</w:t>
            </w:r>
            <w:r w:rsidR="009D50CF" w:rsidRPr="00AD25C9">
              <w:rPr>
                <w:rFonts w:asciiTheme="minorHAnsi" w:hAnsiTheme="minorHAnsi"/>
                <w:lang w:val="en-US"/>
              </w:rPr>
              <w:t>mend to remove any barrier created by the Right to Information or Privacy legislation to ensure WorkSafe Tasmania can carry out its proper function of enforcing compliance with the Act, which requires access to accident and claim information.</w:t>
            </w:r>
            <w:r w:rsidR="0080436F" w:rsidRPr="00AD25C9">
              <w:rPr>
                <w:rFonts w:asciiTheme="minorHAnsi" w:hAnsiTheme="minorHAnsi"/>
                <w:lang w:val="en-US"/>
              </w:rPr>
              <w:t xml:space="preserve"> </w:t>
            </w:r>
          </w:p>
        </w:tc>
      </w:tr>
      <w:tr w:rsidR="009D50CF" w:rsidRPr="00B7774E" w:rsidTr="00E64AB9">
        <w:tc>
          <w:tcPr>
            <w:tcW w:w="2551" w:type="dxa"/>
          </w:tcPr>
          <w:p w:rsidR="009D50CF" w:rsidRPr="00B7774E" w:rsidRDefault="009D50CF" w:rsidP="00E64AB9">
            <w:pPr>
              <w:pStyle w:val="Paragraph"/>
              <w:numPr>
                <w:ilvl w:val="0"/>
                <w:numId w:val="5"/>
              </w:numPr>
              <w:spacing w:before="120"/>
              <w:ind w:left="284" w:hanging="284"/>
              <w:jc w:val="left"/>
              <w:rPr>
                <w:rStyle w:val="Strong"/>
                <w:rFonts w:asciiTheme="minorHAnsi" w:eastAsiaTheme="minorHAnsi" w:hAnsiTheme="minorHAnsi" w:cstheme="minorBidi"/>
                <w:lang w:eastAsia="en-US"/>
              </w:rPr>
            </w:pPr>
            <w:r w:rsidRPr="00B7774E">
              <w:rPr>
                <w:rStyle w:val="Strong"/>
                <w:rFonts w:asciiTheme="minorHAnsi" w:eastAsiaTheme="minorHAnsi" w:hAnsiTheme="minorHAnsi" w:cstheme="minorBidi"/>
                <w:lang w:eastAsia="en-US"/>
              </w:rPr>
              <w:t xml:space="preserve">Amount of compensation in case of incapacity – normal weekly earnings and relevant period </w:t>
            </w:r>
          </w:p>
          <w:p w:rsidR="009D50CF" w:rsidRPr="00B7774E" w:rsidRDefault="009D50CF" w:rsidP="00E64AB9">
            <w:pPr>
              <w:pStyle w:val="Paragraph"/>
              <w:spacing w:before="0" w:after="120"/>
              <w:ind w:left="284"/>
              <w:jc w:val="left"/>
              <w:rPr>
                <w:rFonts w:asciiTheme="minorHAnsi" w:hAnsiTheme="minorHAnsi"/>
                <w:lang w:val="en-US"/>
              </w:rPr>
            </w:pPr>
            <w:r w:rsidRPr="00B7774E">
              <w:rPr>
                <w:rFonts w:asciiTheme="minorHAnsi" w:eastAsiaTheme="minorHAnsi" w:hAnsiTheme="minorHAnsi" w:cstheme="minorBidi"/>
                <w:b/>
                <w:iCs/>
                <w:lang w:eastAsia="en-US"/>
              </w:rPr>
              <w:t>Section 69(14)</w:t>
            </w:r>
          </w:p>
        </w:tc>
        <w:tc>
          <w:tcPr>
            <w:tcW w:w="5954" w:type="dxa"/>
          </w:tcPr>
          <w:p w:rsidR="009D50CF" w:rsidRPr="00AD25C9" w:rsidRDefault="00947B5A" w:rsidP="007628A1">
            <w:pPr>
              <w:pStyle w:val="Paragraph"/>
              <w:spacing w:before="120" w:after="120"/>
              <w:rPr>
                <w:rFonts w:asciiTheme="minorHAnsi" w:hAnsiTheme="minorHAnsi"/>
                <w:lang w:val="en-US"/>
              </w:rPr>
            </w:pPr>
            <w:r>
              <w:rPr>
                <w:rFonts w:asciiTheme="minorHAnsi" w:hAnsiTheme="minorHAnsi" w:cs="Arial"/>
              </w:rPr>
              <w:t>C</w:t>
            </w:r>
            <w:r w:rsidR="009D50CF" w:rsidRPr="00AD25C9">
              <w:rPr>
                <w:rFonts w:asciiTheme="minorHAnsi" w:hAnsiTheme="minorHAnsi" w:cs="Arial"/>
              </w:rPr>
              <w:t xml:space="preserve">larify the wording of this section to ensure </w:t>
            </w:r>
            <w:r w:rsidR="009D50CF" w:rsidRPr="00AD25C9">
              <w:rPr>
                <w:rFonts w:asciiTheme="minorHAnsi" w:hAnsiTheme="minorHAnsi"/>
                <w:lang w:val="en-US"/>
              </w:rPr>
              <w:t xml:space="preserve">the method of calculating normal weekly earnings is fair for casual and short term workers. This is in response to concerns that the word </w:t>
            </w:r>
            <w:r w:rsidR="007628A1">
              <w:rPr>
                <w:rFonts w:asciiTheme="minorHAnsi" w:hAnsiTheme="minorHAnsi"/>
                <w:lang w:val="en-US"/>
              </w:rPr>
              <w:t>‘</w:t>
            </w:r>
            <w:r w:rsidR="009D50CF" w:rsidRPr="00AD25C9">
              <w:rPr>
                <w:rFonts w:asciiTheme="minorHAnsi" w:hAnsiTheme="minorHAnsi"/>
                <w:lang w:val="en-US"/>
              </w:rPr>
              <w:t>continuously</w:t>
            </w:r>
            <w:r w:rsidR="007628A1">
              <w:rPr>
                <w:rFonts w:asciiTheme="minorHAnsi" w:hAnsiTheme="minorHAnsi"/>
                <w:lang w:val="en-US"/>
              </w:rPr>
              <w:t>’</w:t>
            </w:r>
            <w:r w:rsidR="009D50CF" w:rsidRPr="00AD25C9">
              <w:rPr>
                <w:rFonts w:asciiTheme="minorHAnsi" w:hAnsiTheme="minorHAnsi"/>
                <w:lang w:val="en-US"/>
              </w:rPr>
              <w:t xml:space="preserve"> in the definition of </w:t>
            </w:r>
            <w:r w:rsidR="007628A1">
              <w:rPr>
                <w:rFonts w:asciiTheme="minorHAnsi" w:hAnsiTheme="minorHAnsi"/>
                <w:lang w:val="en-US"/>
              </w:rPr>
              <w:t>‘</w:t>
            </w:r>
            <w:r w:rsidR="009D50CF" w:rsidRPr="00AD25C9">
              <w:rPr>
                <w:rFonts w:asciiTheme="minorHAnsi" w:hAnsiTheme="minorHAnsi"/>
                <w:lang w:val="en-US"/>
              </w:rPr>
              <w:t>relevant period</w:t>
            </w:r>
            <w:r w:rsidR="007628A1">
              <w:rPr>
                <w:rFonts w:asciiTheme="minorHAnsi" w:hAnsiTheme="minorHAnsi"/>
                <w:lang w:val="en-US"/>
              </w:rPr>
              <w:t>’</w:t>
            </w:r>
            <w:r w:rsidR="009D50CF" w:rsidRPr="00AD25C9">
              <w:rPr>
                <w:rFonts w:asciiTheme="minorHAnsi" w:hAnsiTheme="minorHAnsi"/>
                <w:lang w:val="en-US"/>
              </w:rPr>
              <w:t xml:space="preserve"> may create problems for casual workers who may be regarded as having a new contract of employment on each occasion they are called on to work.</w:t>
            </w:r>
          </w:p>
        </w:tc>
      </w:tr>
    </w:tbl>
    <w:p w:rsidR="0034162D" w:rsidRPr="00B7774E" w:rsidRDefault="0034162D" w:rsidP="001F37E9">
      <w:pPr>
        <w:spacing w:before="360" w:after="0"/>
        <w:ind w:left="426"/>
        <w:contextualSpacing/>
        <w:jc w:val="both"/>
      </w:pPr>
      <w:bookmarkStart w:id="3" w:name="GS24@EN"/>
      <w:bookmarkStart w:id="4" w:name="GS100@EN"/>
      <w:bookmarkStart w:id="5" w:name="GS104@EN"/>
      <w:bookmarkStart w:id="6" w:name="GS3@Gs1@Nd271200902211@Hpb@EN"/>
      <w:bookmarkStart w:id="7" w:name="GS3@Gs1@Nd271200902211@Hpc@EN"/>
      <w:bookmarkStart w:id="8" w:name="GS3@Gs1@Nd271200902211@Hpd@EN"/>
      <w:bookmarkStart w:id="9" w:name="GS3@Gs1@Nd271200902211@Hpe@EN"/>
      <w:bookmarkStart w:id="10" w:name="GS3@Gs1@Nd271200902211@Hpf@EN"/>
      <w:bookmarkStart w:id="11" w:name="GS3@Gs1@Nd271200902211@Hpg@EN"/>
      <w:bookmarkStart w:id="12" w:name="GS3@Gs1@Nd271200902211@Hph@EN"/>
      <w:bookmarkStart w:id="13" w:name="GS3@Gs1@Nd271200902211@Hpi@EN"/>
      <w:bookmarkStart w:id="14" w:name="GS3@Gs1@Nd271200902211@Hpj@EN"/>
      <w:bookmarkEnd w:id="3"/>
      <w:bookmarkEnd w:id="4"/>
      <w:bookmarkEnd w:id="5"/>
      <w:bookmarkEnd w:id="6"/>
      <w:bookmarkEnd w:id="7"/>
      <w:bookmarkEnd w:id="8"/>
      <w:bookmarkEnd w:id="9"/>
      <w:bookmarkEnd w:id="10"/>
      <w:bookmarkEnd w:id="11"/>
      <w:bookmarkEnd w:id="12"/>
      <w:bookmarkEnd w:id="13"/>
      <w:bookmarkEnd w:id="14"/>
    </w:p>
    <w:sectPr w:rsidR="0034162D" w:rsidRPr="00B7774E" w:rsidSect="006D5EAB">
      <w:headerReference w:type="default" r:id="rId12"/>
      <w:footerReference w:type="default" r:id="rId13"/>
      <w:pgSz w:w="11906" w:h="16838"/>
      <w:pgMar w:top="1985"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80" w:rsidRDefault="00BD2080" w:rsidP="005630DC">
      <w:pPr>
        <w:spacing w:after="0" w:line="240" w:lineRule="auto"/>
      </w:pPr>
      <w:r>
        <w:separator/>
      </w:r>
    </w:p>
  </w:endnote>
  <w:endnote w:type="continuationSeparator" w:id="0">
    <w:p w:rsidR="00BD2080" w:rsidRDefault="00BD2080" w:rsidP="0056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9"/>
        <w:szCs w:val="19"/>
      </w:rPr>
      <w:id w:val="150110044"/>
      <w:docPartObj>
        <w:docPartGallery w:val="Page Numbers (Bottom of Page)"/>
        <w:docPartUnique/>
      </w:docPartObj>
    </w:sdtPr>
    <w:sdtEndPr/>
    <w:sdtContent>
      <w:p w:rsidR="00B55248" w:rsidRPr="00C24A4A" w:rsidRDefault="00B55248">
        <w:pPr>
          <w:pStyle w:val="Footer"/>
          <w:jc w:val="right"/>
          <w:rPr>
            <w:color w:val="808080" w:themeColor="background1" w:themeShade="80"/>
            <w:sz w:val="19"/>
            <w:szCs w:val="19"/>
          </w:rPr>
        </w:pPr>
        <w:r>
          <w:rPr>
            <w:noProof/>
            <w:color w:val="FFFFFF" w:themeColor="background1"/>
            <w:sz w:val="19"/>
            <w:szCs w:val="19"/>
            <w:lang w:eastAsia="en-AU"/>
          </w:rPr>
          <mc:AlternateContent>
            <mc:Choice Requires="wps">
              <w:drawing>
                <wp:anchor distT="0" distB="0" distL="114300" distR="114300" simplePos="0" relativeHeight="251660288" behindDoc="0" locked="0" layoutInCell="1" allowOverlap="1" wp14:anchorId="1765DAC9" wp14:editId="39870A7E">
                  <wp:simplePos x="0" y="0"/>
                  <wp:positionH relativeFrom="column">
                    <wp:posOffset>-7620</wp:posOffset>
                  </wp:positionH>
                  <wp:positionV relativeFrom="paragraph">
                    <wp:posOffset>-40971</wp:posOffset>
                  </wp:positionV>
                  <wp:extent cx="5772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5pt" to="453.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" strokecolor="#7f7f7f [1612]"/>
              </w:pict>
            </mc:Fallback>
          </mc:AlternateContent>
        </w:r>
        <w:r w:rsidRPr="00C24A4A">
          <w:rPr>
            <w:color w:val="808080" w:themeColor="background1" w:themeShade="80"/>
            <w:sz w:val="19"/>
            <w:szCs w:val="19"/>
          </w:rPr>
          <w:t xml:space="preserve">Proposed Amendments to </w:t>
        </w:r>
        <w:r w:rsidRPr="00C24A4A">
          <w:rPr>
            <w:i/>
            <w:color w:val="808080" w:themeColor="background1" w:themeShade="80"/>
            <w:sz w:val="19"/>
            <w:szCs w:val="19"/>
          </w:rPr>
          <w:t>Workers Rehabilitation and Compensation Act 1988</w:t>
        </w:r>
        <w:r>
          <w:rPr>
            <w:i/>
            <w:color w:val="808080" w:themeColor="background1" w:themeShade="80"/>
            <w:sz w:val="19"/>
            <w:szCs w:val="19"/>
          </w:rPr>
          <w:t xml:space="preserve"> – </w:t>
        </w:r>
        <w:r>
          <w:rPr>
            <w:color w:val="808080" w:themeColor="background1" w:themeShade="80"/>
            <w:sz w:val="19"/>
            <w:szCs w:val="19"/>
          </w:rPr>
          <w:t>August 2015</w:t>
        </w:r>
        <w:r w:rsidRPr="00C24A4A">
          <w:rPr>
            <w:i/>
            <w:color w:val="808080" w:themeColor="background1" w:themeShade="80"/>
            <w:sz w:val="19"/>
            <w:szCs w:val="19"/>
          </w:rPr>
          <w:tab/>
        </w:r>
        <w:r w:rsidRPr="00C24A4A">
          <w:rPr>
            <w:color w:val="808080" w:themeColor="background1" w:themeShade="80"/>
            <w:sz w:val="19"/>
            <w:szCs w:val="19"/>
          </w:rPr>
          <w:t xml:space="preserve">Page | </w:t>
        </w:r>
        <w:r w:rsidRPr="00C24A4A">
          <w:rPr>
            <w:color w:val="808080" w:themeColor="background1" w:themeShade="80"/>
            <w:sz w:val="19"/>
            <w:szCs w:val="19"/>
          </w:rPr>
          <w:fldChar w:fldCharType="begin"/>
        </w:r>
        <w:r w:rsidRPr="00C24A4A">
          <w:rPr>
            <w:color w:val="808080" w:themeColor="background1" w:themeShade="80"/>
            <w:sz w:val="19"/>
            <w:szCs w:val="19"/>
          </w:rPr>
          <w:instrText xml:space="preserve"> PAGE   \* MERGEFORMAT </w:instrText>
        </w:r>
        <w:r w:rsidRPr="00C24A4A">
          <w:rPr>
            <w:color w:val="808080" w:themeColor="background1" w:themeShade="80"/>
            <w:sz w:val="19"/>
            <w:szCs w:val="19"/>
          </w:rPr>
          <w:fldChar w:fldCharType="separate"/>
        </w:r>
        <w:r w:rsidR="00983F2B">
          <w:rPr>
            <w:noProof/>
            <w:color w:val="808080" w:themeColor="background1" w:themeShade="80"/>
            <w:sz w:val="19"/>
            <w:szCs w:val="19"/>
          </w:rPr>
          <w:t>1</w:t>
        </w:r>
        <w:r w:rsidRPr="00C24A4A">
          <w:rPr>
            <w:noProof/>
            <w:color w:val="808080" w:themeColor="background1" w:themeShade="80"/>
            <w:sz w:val="19"/>
            <w:szCs w:val="19"/>
          </w:rPr>
          <w:fldChar w:fldCharType="end"/>
        </w:r>
        <w:r w:rsidRPr="00C24A4A">
          <w:rPr>
            <w:color w:val="808080" w:themeColor="background1" w:themeShade="80"/>
            <w:sz w:val="19"/>
            <w:szCs w:val="19"/>
          </w:rPr>
          <w:t xml:space="preserve"> </w:t>
        </w:r>
      </w:p>
    </w:sdtContent>
  </w:sdt>
  <w:p w:rsidR="00B55248" w:rsidRDefault="00B55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80" w:rsidRDefault="00BD2080" w:rsidP="005630DC">
      <w:pPr>
        <w:spacing w:after="0" w:line="240" w:lineRule="auto"/>
      </w:pPr>
      <w:r>
        <w:separator/>
      </w:r>
    </w:p>
  </w:footnote>
  <w:footnote w:type="continuationSeparator" w:id="0">
    <w:p w:rsidR="00BD2080" w:rsidRDefault="00BD2080" w:rsidP="005630DC">
      <w:pPr>
        <w:spacing w:after="0" w:line="240" w:lineRule="auto"/>
      </w:pPr>
      <w:r>
        <w:continuationSeparator/>
      </w:r>
    </w:p>
  </w:footnote>
  <w:footnote w:id="1">
    <w:p w:rsidR="00B55248" w:rsidRDefault="00B55248" w:rsidP="008E1CEC">
      <w:pPr>
        <w:pStyle w:val="FootnoteText"/>
      </w:pPr>
      <w:r>
        <w:rPr>
          <w:rStyle w:val="FootnoteReference"/>
        </w:rPr>
        <w:footnoteRef/>
      </w:r>
      <w:r>
        <w:t xml:space="preserve"> Australian Prudential Regulation Authority (APRA)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48" w:rsidRDefault="00B55248">
    <w:pPr>
      <w:pStyle w:val="Header"/>
    </w:pPr>
    <w:r>
      <w:rPr>
        <w:rFonts w:ascii="Arial" w:hAnsi="Arial" w:cs="Arial"/>
        <w:noProof/>
        <w:color w:val="000000"/>
        <w:sz w:val="18"/>
        <w:szCs w:val="18"/>
        <w:lang w:eastAsia="en-AU"/>
      </w:rPr>
      <w:drawing>
        <wp:anchor distT="0" distB="0" distL="114300" distR="114300" simplePos="0" relativeHeight="251659264" behindDoc="0" locked="0" layoutInCell="1" allowOverlap="1" wp14:anchorId="16728E32" wp14:editId="43C5D414">
          <wp:simplePos x="0" y="0"/>
          <wp:positionH relativeFrom="column">
            <wp:posOffset>4755144</wp:posOffset>
          </wp:positionH>
          <wp:positionV relativeFrom="paragraph">
            <wp:posOffset>-159385</wp:posOffset>
          </wp:positionV>
          <wp:extent cx="946205" cy="475931"/>
          <wp:effectExtent l="0" t="0" r="6350" b="635"/>
          <wp:wrapNone/>
          <wp:docPr id="2" name="Picture 2" descr="Description: Description: Description: Description: Worksafe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Worksafe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6205" cy="475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C91"/>
    <w:multiLevelType w:val="hybridMultilevel"/>
    <w:tmpl w:val="799E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490FE3"/>
    <w:multiLevelType w:val="hybridMultilevel"/>
    <w:tmpl w:val="667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AF680B"/>
    <w:multiLevelType w:val="hybridMultilevel"/>
    <w:tmpl w:val="AE5EC67C"/>
    <w:lvl w:ilvl="0" w:tplc="313403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BE7A89"/>
    <w:multiLevelType w:val="hybridMultilevel"/>
    <w:tmpl w:val="7020F5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9716902"/>
    <w:multiLevelType w:val="hybridMultilevel"/>
    <w:tmpl w:val="71E00B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48AE47-D002-4615-8DBA-FCCB65288ADC}"/>
    <w:docVar w:name="dgnword-eventsink" w:val="114811208"/>
  </w:docVars>
  <w:rsids>
    <w:rsidRoot w:val="00BB4CB8"/>
    <w:rsid w:val="0000439F"/>
    <w:rsid w:val="0001058A"/>
    <w:rsid w:val="000120E0"/>
    <w:rsid w:val="0001719C"/>
    <w:rsid w:val="00036B9D"/>
    <w:rsid w:val="00043706"/>
    <w:rsid w:val="00050B62"/>
    <w:rsid w:val="00071046"/>
    <w:rsid w:val="00073F56"/>
    <w:rsid w:val="0008332D"/>
    <w:rsid w:val="00084283"/>
    <w:rsid w:val="00087131"/>
    <w:rsid w:val="00091D10"/>
    <w:rsid w:val="000945E4"/>
    <w:rsid w:val="000A3BB7"/>
    <w:rsid w:val="000A3ED5"/>
    <w:rsid w:val="000B0E3F"/>
    <w:rsid w:val="000C002B"/>
    <w:rsid w:val="000D1127"/>
    <w:rsid w:val="000E12D2"/>
    <w:rsid w:val="0015781D"/>
    <w:rsid w:val="00160998"/>
    <w:rsid w:val="0016455D"/>
    <w:rsid w:val="001900D7"/>
    <w:rsid w:val="001A64DC"/>
    <w:rsid w:val="001B1204"/>
    <w:rsid w:val="001C030C"/>
    <w:rsid w:val="001C31BE"/>
    <w:rsid w:val="001C6CA4"/>
    <w:rsid w:val="001D58C2"/>
    <w:rsid w:val="001F37E9"/>
    <w:rsid w:val="001F45F6"/>
    <w:rsid w:val="002015B3"/>
    <w:rsid w:val="00204F04"/>
    <w:rsid w:val="002249A8"/>
    <w:rsid w:val="00231A30"/>
    <w:rsid w:val="00267FEC"/>
    <w:rsid w:val="00270177"/>
    <w:rsid w:val="0027451E"/>
    <w:rsid w:val="00286622"/>
    <w:rsid w:val="002923B5"/>
    <w:rsid w:val="002A79DA"/>
    <w:rsid w:val="002B6F27"/>
    <w:rsid w:val="002B7B0C"/>
    <w:rsid w:val="002C0E0A"/>
    <w:rsid w:val="002C6C58"/>
    <w:rsid w:val="002D07A4"/>
    <w:rsid w:val="002D0D48"/>
    <w:rsid w:val="002E5081"/>
    <w:rsid w:val="002E540A"/>
    <w:rsid w:val="002E7037"/>
    <w:rsid w:val="002F245A"/>
    <w:rsid w:val="002F26AC"/>
    <w:rsid w:val="002F29B2"/>
    <w:rsid w:val="002F3603"/>
    <w:rsid w:val="002F38C4"/>
    <w:rsid w:val="00317677"/>
    <w:rsid w:val="0034162D"/>
    <w:rsid w:val="00343F49"/>
    <w:rsid w:val="00344336"/>
    <w:rsid w:val="0035541F"/>
    <w:rsid w:val="00355E65"/>
    <w:rsid w:val="00373B2E"/>
    <w:rsid w:val="003835C9"/>
    <w:rsid w:val="0039077C"/>
    <w:rsid w:val="003A1A02"/>
    <w:rsid w:val="003A7C91"/>
    <w:rsid w:val="003A7FDF"/>
    <w:rsid w:val="003B0036"/>
    <w:rsid w:val="003B0E5A"/>
    <w:rsid w:val="003B1F74"/>
    <w:rsid w:val="003B513B"/>
    <w:rsid w:val="003D3F91"/>
    <w:rsid w:val="003E597E"/>
    <w:rsid w:val="003F322F"/>
    <w:rsid w:val="004130EA"/>
    <w:rsid w:val="004313D0"/>
    <w:rsid w:val="004378F5"/>
    <w:rsid w:val="00461B64"/>
    <w:rsid w:val="0047532B"/>
    <w:rsid w:val="0049423C"/>
    <w:rsid w:val="00495D84"/>
    <w:rsid w:val="0049666C"/>
    <w:rsid w:val="00497A9B"/>
    <w:rsid w:val="004B3B76"/>
    <w:rsid w:val="004B67DC"/>
    <w:rsid w:val="004E3EEE"/>
    <w:rsid w:val="004E4BCE"/>
    <w:rsid w:val="0050191A"/>
    <w:rsid w:val="00501E0F"/>
    <w:rsid w:val="00513400"/>
    <w:rsid w:val="00517FBA"/>
    <w:rsid w:val="00542DE4"/>
    <w:rsid w:val="005630DC"/>
    <w:rsid w:val="00572014"/>
    <w:rsid w:val="0057462F"/>
    <w:rsid w:val="00577F23"/>
    <w:rsid w:val="00584D9F"/>
    <w:rsid w:val="00595D23"/>
    <w:rsid w:val="005A5734"/>
    <w:rsid w:val="005B02AE"/>
    <w:rsid w:val="005B46C7"/>
    <w:rsid w:val="005C2ED1"/>
    <w:rsid w:val="005D5D38"/>
    <w:rsid w:val="005D66D4"/>
    <w:rsid w:val="005F1218"/>
    <w:rsid w:val="005F24EF"/>
    <w:rsid w:val="005F6F0F"/>
    <w:rsid w:val="00604CC0"/>
    <w:rsid w:val="00612117"/>
    <w:rsid w:val="00614385"/>
    <w:rsid w:val="00644D27"/>
    <w:rsid w:val="006505A3"/>
    <w:rsid w:val="00657FE2"/>
    <w:rsid w:val="00670B45"/>
    <w:rsid w:val="00672B9B"/>
    <w:rsid w:val="006768B4"/>
    <w:rsid w:val="0067707F"/>
    <w:rsid w:val="006774CF"/>
    <w:rsid w:val="00681417"/>
    <w:rsid w:val="00693371"/>
    <w:rsid w:val="00697258"/>
    <w:rsid w:val="006A3A6A"/>
    <w:rsid w:val="006B709E"/>
    <w:rsid w:val="006D5EAB"/>
    <w:rsid w:val="006F06AE"/>
    <w:rsid w:val="006F277C"/>
    <w:rsid w:val="006F27F7"/>
    <w:rsid w:val="006F4A65"/>
    <w:rsid w:val="00702FE8"/>
    <w:rsid w:val="00705D14"/>
    <w:rsid w:val="00711F6E"/>
    <w:rsid w:val="007212B1"/>
    <w:rsid w:val="00722857"/>
    <w:rsid w:val="0073053C"/>
    <w:rsid w:val="00740AFD"/>
    <w:rsid w:val="0074449C"/>
    <w:rsid w:val="00744A2C"/>
    <w:rsid w:val="00746728"/>
    <w:rsid w:val="00747980"/>
    <w:rsid w:val="007514B5"/>
    <w:rsid w:val="00752B07"/>
    <w:rsid w:val="0075377A"/>
    <w:rsid w:val="00756D2D"/>
    <w:rsid w:val="007628A1"/>
    <w:rsid w:val="00764250"/>
    <w:rsid w:val="00765E6B"/>
    <w:rsid w:val="007717B8"/>
    <w:rsid w:val="007737A8"/>
    <w:rsid w:val="00773EB9"/>
    <w:rsid w:val="00774D74"/>
    <w:rsid w:val="00781F07"/>
    <w:rsid w:val="00785FD7"/>
    <w:rsid w:val="0078773F"/>
    <w:rsid w:val="007906A0"/>
    <w:rsid w:val="00797B9E"/>
    <w:rsid w:val="00797C40"/>
    <w:rsid w:val="007C5945"/>
    <w:rsid w:val="0080436F"/>
    <w:rsid w:val="008110DD"/>
    <w:rsid w:val="00826A69"/>
    <w:rsid w:val="00835288"/>
    <w:rsid w:val="00853B0A"/>
    <w:rsid w:val="008549CE"/>
    <w:rsid w:val="00857725"/>
    <w:rsid w:val="00872FC4"/>
    <w:rsid w:val="00873303"/>
    <w:rsid w:val="008C75AD"/>
    <w:rsid w:val="008D2686"/>
    <w:rsid w:val="008D6F4B"/>
    <w:rsid w:val="008E1CEC"/>
    <w:rsid w:val="008F1FEA"/>
    <w:rsid w:val="008F7A00"/>
    <w:rsid w:val="009013C5"/>
    <w:rsid w:val="009113B7"/>
    <w:rsid w:val="0091375B"/>
    <w:rsid w:val="00922FC7"/>
    <w:rsid w:val="009269CE"/>
    <w:rsid w:val="00934E94"/>
    <w:rsid w:val="00942430"/>
    <w:rsid w:val="00943564"/>
    <w:rsid w:val="00945E75"/>
    <w:rsid w:val="00947B5A"/>
    <w:rsid w:val="00961E0A"/>
    <w:rsid w:val="00963570"/>
    <w:rsid w:val="009639D3"/>
    <w:rsid w:val="00971FC7"/>
    <w:rsid w:val="0097457D"/>
    <w:rsid w:val="00983F2B"/>
    <w:rsid w:val="009879C4"/>
    <w:rsid w:val="00991C89"/>
    <w:rsid w:val="00995FF4"/>
    <w:rsid w:val="009B332D"/>
    <w:rsid w:val="009C24E7"/>
    <w:rsid w:val="009C469B"/>
    <w:rsid w:val="009D1B33"/>
    <w:rsid w:val="009D50CF"/>
    <w:rsid w:val="009E36BE"/>
    <w:rsid w:val="009E3941"/>
    <w:rsid w:val="009E427B"/>
    <w:rsid w:val="00A1157D"/>
    <w:rsid w:val="00A11F16"/>
    <w:rsid w:val="00A15496"/>
    <w:rsid w:val="00A230A8"/>
    <w:rsid w:val="00A27C0E"/>
    <w:rsid w:val="00A311EB"/>
    <w:rsid w:val="00A4628E"/>
    <w:rsid w:val="00A50B64"/>
    <w:rsid w:val="00A54F3F"/>
    <w:rsid w:val="00A86AD1"/>
    <w:rsid w:val="00AB31CF"/>
    <w:rsid w:val="00AB5CFC"/>
    <w:rsid w:val="00AD25C9"/>
    <w:rsid w:val="00AD4AE3"/>
    <w:rsid w:val="00AF1F98"/>
    <w:rsid w:val="00B03E04"/>
    <w:rsid w:val="00B04FDC"/>
    <w:rsid w:val="00B2581E"/>
    <w:rsid w:val="00B25F59"/>
    <w:rsid w:val="00B405C2"/>
    <w:rsid w:val="00B443AB"/>
    <w:rsid w:val="00B52BE9"/>
    <w:rsid w:val="00B55248"/>
    <w:rsid w:val="00B57F8E"/>
    <w:rsid w:val="00B614AC"/>
    <w:rsid w:val="00B71833"/>
    <w:rsid w:val="00B755CA"/>
    <w:rsid w:val="00B7774E"/>
    <w:rsid w:val="00B82258"/>
    <w:rsid w:val="00B83317"/>
    <w:rsid w:val="00B918FB"/>
    <w:rsid w:val="00BB1F89"/>
    <w:rsid w:val="00BB2A5C"/>
    <w:rsid w:val="00BB4CB8"/>
    <w:rsid w:val="00BB5E2D"/>
    <w:rsid w:val="00BC2C36"/>
    <w:rsid w:val="00BC5B58"/>
    <w:rsid w:val="00BD2080"/>
    <w:rsid w:val="00BE209D"/>
    <w:rsid w:val="00BE3FC1"/>
    <w:rsid w:val="00C02F2D"/>
    <w:rsid w:val="00C24A4A"/>
    <w:rsid w:val="00C24F47"/>
    <w:rsid w:val="00C35D26"/>
    <w:rsid w:val="00C4216A"/>
    <w:rsid w:val="00C55228"/>
    <w:rsid w:val="00C57159"/>
    <w:rsid w:val="00C5756E"/>
    <w:rsid w:val="00C63868"/>
    <w:rsid w:val="00C77B4E"/>
    <w:rsid w:val="00C93502"/>
    <w:rsid w:val="00C94717"/>
    <w:rsid w:val="00CB4C7A"/>
    <w:rsid w:val="00CC1764"/>
    <w:rsid w:val="00CC4BAC"/>
    <w:rsid w:val="00CD34E1"/>
    <w:rsid w:val="00CE3CA7"/>
    <w:rsid w:val="00CE6EB9"/>
    <w:rsid w:val="00CF4D94"/>
    <w:rsid w:val="00D02F10"/>
    <w:rsid w:val="00D05CA0"/>
    <w:rsid w:val="00D1434B"/>
    <w:rsid w:val="00D40724"/>
    <w:rsid w:val="00D458E7"/>
    <w:rsid w:val="00D502FF"/>
    <w:rsid w:val="00D5234F"/>
    <w:rsid w:val="00D57008"/>
    <w:rsid w:val="00D57FC0"/>
    <w:rsid w:val="00D60F97"/>
    <w:rsid w:val="00D803B3"/>
    <w:rsid w:val="00D81957"/>
    <w:rsid w:val="00D93400"/>
    <w:rsid w:val="00D964CA"/>
    <w:rsid w:val="00DC36F5"/>
    <w:rsid w:val="00DD14B4"/>
    <w:rsid w:val="00DD543E"/>
    <w:rsid w:val="00DD73ED"/>
    <w:rsid w:val="00DE700E"/>
    <w:rsid w:val="00DF360A"/>
    <w:rsid w:val="00DF6DA8"/>
    <w:rsid w:val="00E038DA"/>
    <w:rsid w:val="00E171BF"/>
    <w:rsid w:val="00E177DF"/>
    <w:rsid w:val="00E17B7F"/>
    <w:rsid w:val="00E347C7"/>
    <w:rsid w:val="00E41776"/>
    <w:rsid w:val="00E5525D"/>
    <w:rsid w:val="00E61CAA"/>
    <w:rsid w:val="00E63447"/>
    <w:rsid w:val="00E64AB9"/>
    <w:rsid w:val="00E82ECD"/>
    <w:rsid w:val="00E8474C"/>
    <w:rsid w:val="00E909AB"/>
    <w:rsid w:val="00E91B0B"/>
    <w:rsid w:val="00EA24AD"/>
    <w:rsid w:val="00EB127E"/>
    <w:rsid w:val="00EB13A7"/>
    <w:rsid w:val="00EC026F"/>
    <w:rsid w:val="00EC2887"/>
    <w:rsid w:val="00ED21A2"/>
    <w:rsid w:val="00EE2622"/>
    <w:rsid w:val="00EE4AB4"/>
    <w:rsid w:val="00EF0EB6"/>
    <w:rsid w:val="00EF2708"/>
    <w:rsid w:val="00EF4527"/>
    <w:rsid w:val="00F01120"/>
    <w:rsid w:val="00F13820"/>
    <w:rsid w:val="00F16D5C"/>
    <w:rsid w:val="00F176DA"/>
    <w:rsid w:val="00F21299"/>
    <w:rsid w:val="00F2183F"/>
    <w:rsid w:val="00F23F58"/>
    <w:rsid w:val="00F26AF7"/>
    <w:rsid w:val="00F33FC6"/>
    <w:rsid w:val="00F418BA"/>
    <w:rsid w:val="00F425B9"/>
    <w:rsid w:val="00F52848"/>
    <w:rsid w:val="00F60D2D"/>
    <w:rsid w:val="00F6448E"/>
    <w:rsid w:val="00F819A6"/>
    <w:rsid w:val="00F828DF"/>
    <w:rsid w:val="00F878D1"/>
    <w:rsid w:val="00FA5238"/>
    <w:rsid w:val="00FB7059"/>
    <w:rsid w:val="00FC0ADC"/>
    <w:rsid w:val="00FC3116"/>
    <w:rsid w:val="00FC7674"/>
    <w:rsid w:val="00FD5209"/>
    <w:rsid w:val="00FE3C34"/>
    <w:rsid w:val="00FE4198"/>
    <w:rsid w:val="00FE5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6F"/>
  </w:style>
  <w:style w:type="paragraph" w:styleId="Heading1">
    <w:name w:val="heading 1"/>
    <w:basedOn w:val="Normal"/>
    <w:next w:val="Normal"/>
    <w:link w:val="Heading1Char"/>
    <w:uiPriority w:val="9"/>
    <w:qFormat/>
    <w:rsid w:val="005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C02F2D"/>
    <w:pPr>
      <w:numPr>
        <w:numId w:val="3"/>
      </w:numPr>
      <w:spacing w:before="360" w:after="0"/>
      <w:ind w:left="426" w:hanging="426"/>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CB8"/>
    <w:rPr>
      <w:b/>
      <w:bCs/>
    </w:rPr>
  </w:style>
  <w:style w:type="character" w:customStyle="1" w:styleId="Heading2Char">
    <w:name w:val="Heading 2 Char"/>
    <w:basedOn w:val="DefaultParagraphFont"/>
    <w:link w:val="Heading2"/>
    <w:uiPriority w:val="9"/>
    <w:rsid w:val="00B52BE9"/>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B52BE9"/>
    <w:rPr>
      <w:i/>
      <w:iCs/>
      <w:color w:val="808080" w:themeColor="text1" w:themeTint="7F"/>
    </w:rPr>
  </w:style>
  <w:style w:type="character" w:customStyle="1" w:styleId="Heading3Char">
    <w:name w:val="Heading 3 Char"/>
    <w:basedOn w:val="DefaultParagraphFont"/>
    <w:link w:val="Heading3"/>
    <w:uiPriority w:val="9"/>
    <w:rsid w:val="00C02F2D"/>
    <w:rPr>
      <w:b/>
    </w:rPr>
  </w:style>
  <w:style w:type="character" w:customStyle="1" w:styleId="Heading1Char">
    <w:name w:val="Heading 1 Char"/>
    <w:basedOn w:val="DefaultParagraphFont"/>
    <w:link w:val="Heading1"/>
    <w:uiPriority w:val="9"/>
    <w:rsid w:val="005D5D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5D38"/>
    <w:pPr>
      <w:spacing w:after="0" w:line="240" w:lineRule="auto"/>
    </w:pPr>
  </w:style>
  <w:style w:type="character" w:styleId="Emphasis">
    <w:name w:val="Emphasis"/>
    <w:basedOn w:val="DefaultParagraphFont"/>
    <w:uiPriority w:val="20"/>
    <w:qFormat/>
    <w:rsid w:val="005D5D38"/>
    <w:rPr>
      <w:i/>
      <w:iCs/>
    </w:rPr>
  </w:style>
  <w:style w:type="character" w:styleId="CommentReference">
    <w:name w:val="annotation reference"/>
    <w:basedOn w:val="DefaultParagraphFont"/>
    <w:uiPriority w:val="99"/>
    <w:semiHidden/>
    <w:unhideWhenUsed/>
    <w:rsid w:val="00CD34E1"/>
    <w:rPr>
      <w:sz w:val="16"/>
      <w:szCs w:val="16"/>
    </w:rPr>
  </w:style>
  <w:style w:type="paragraph" w:styleId="CommentText">
    <w:name w:val="annotation text"/>
    <w:basedOn w:val="Normal"/>
    <w:link w:val="CommentTextChar"/>
    <w:uiPriority w:val="99"/>
    <w:semiHidden/>
    <w:unhideWhenUsed/>
    <w:rsid w:val="00CD34E1"/>
    <w:pPr>
      <w:spacing w:line="240" w:lineRule="auto"/>
    </w:pPr>
    <w:rPr>
      <w:sz w:val="20"/>
      <w:szCs w:val="20"/>
    </w:rPr>
  </w:style>
  <w:style w:type="character" w:customStyle="1" w:styleId="CommentTextChar">
    <w:name w:val="Comment Text Char"/>
    <w:basedOn w:val="DefaultParagraphFont"/>
    <w:link w:val="CommentText"/>
    <w:uiPriority w:val="99"/>
    <w:semiHidden/>
    <w:rsid w:val="00CD34E1"/>
    <w:rPr>
      <w:sz w:val="20"/>
      <w:szCs w:val="20"/>
    </w:rPr>
  </w:style>
  <w:style w:type="paragraph" w:styleId="CommentSubject">
    <w:name w:val="annotation subject"/>
    <w:basedOn w:val="CommentText"/>
    <w:next w:val="CommentText"/>
    <w:link w:val="CommentSubjectChar"/>
    <w:uiPriority w:val="99"/>
    <w:semiHidden/>
    <w:unhideWhenUsed/>
    <w:rsid w:val="00CD34E1"/>
    <w:rPr>
      <w:b/>
      <w:bCs/>
    </w:rPr>
  </w:style>
  <w:style w:type="character" w:customStyle="1" w:styleId="CommentSubjectChar">
    <w:name w:val="Comment Subject Char"/>
    <w:basedOn w:val="CommentTextChar"/>
    <w:link w:val="CommentSubject"/>
    <w:uiPriority w:val="99"/>
    <w:semiHidden/>
    <w:rsid w:val="00CD34E1"/>
    <w:rPr>
      <w:b/>
      <w:bCs/>
      <w:sz w:val="20"/>
      <w:szCs w:val="20"/>
    </w:rPr>
  </w:style>
  <w:style w:type="paragraph" w:styleId="BalloonText">
    <w:name w:val="Balloon Text"/>
    <w:basedOn w:val="Normal"/>
    <w:link w:val="BalloonTextChar"/>
    <w:uiPriority w:val="99"/>
    <w:semiHidden/>
    <w:unhideWhenUsed/>
    <w:rsid w:val="00CD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E1"/>
    <w:rPr>
      <w:rFonts w:ascii="Tahoma" w:hAnsi="Tahoma" w:cs="Tahoma"/>
      <w:sz w:val="16"/>
      <w:szCs w:val="16"/>
    </w:rPr>
  </w:style>
  <w:style w:type="character" w:styleId="Hyperlink">
    <w:name w:val="Hyperlink"/>
    <w:basedOn w:val="DefaultParagraphFont"/>
    <w:uiPriority w:val="99"/>
    <w:unhideWhenUsed/>
    <w:rsid w:val="00C55228"/>
    <w:rPr>
      <w:color w:val="0000FF"/>
      <w:u w:val="single"/>
    </w:rPr>
  </w:style>
  <w:style w:type="paragraph" w:styleId="NormalWeb">
    <w:name w:val="Normal (Web)"/>
    <w:basedOn w:val="Normal"/>
    <w:uiPriority w:val="99"/>
    <w:semiHidden/>
    <w:unhideWhenUsed/>
    <w:rsid w:val="00C552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7532B"/>
    <w:pPr>
      <w:spacing w:after="0" w:line="240" w:lineRule="auto"/>
    </w:pPr>
  </w:style>
  <w:style w:type="paragraph" w:styleId="FootnoteText">
    <w:name w:val="footnote text"/>
    <w:basedOn w:val="Normal"/>
    <w:link w:val="FootnoteTextChar"/>
    <w:uiPriority w:val="99"/>
    <w:semiHidden/>
    <w:unhideWhenUsed/>
    <w:rsid w:val="00563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0DC"/>
    <w:rPr>
      <w:sz w:val="20"/>
      <w:szCs w:val="20"/>
    </w:rPr>
  </w:style>
  <w:style w:type="character" w:styleId="FootnoteReference">
    <w:name w:val="footnote reference"/>
    <w:basedOn w:val="DefaultParagraphFont"/>
    <w:uiPriority w:val="99"/>
    <w:semiHidden/>
    <w:unhideWhenUsed/>
    <w:rsid w:val="005630DC"/>
    <w:rPr>
      <w:vertAlign w:val="superscript"/>
    </w:rPr>
  </w:style>
  <w:style w:type="paragraph" w:styleId="ListParagraph">
    <w:name w:val="List Paragraph"/>
    <w:basedOn w:val="Normal"/>
    <w:uiPriority w:val="34"/>
    <w:qFormat/>
    <w:rsid w:val="00EB127E"/>
    <w:pPr>
      <w:ind w:left="720"/>
      <w:contextualSpacing/>
    </w:pPr>
  </w:style>
  <w:style w:type="paragraph" w:styleId="Header">
    <w:name w:val="header"/>
    <w:basedOn w:val="Normal"/>
    <w:link w:val="HeaderChar"/>
    <w:uiPriority w:val="99"/>
    <w:unhideWhenUsed/>
    <w:rsid w:val="00DF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A8"/>
  </w:style>
  <w:style w:type="paragraph" w:styleId="Footer">
    <w:name w:val="footer"/>
    <w:basedOn w:val="Normal"/>
    <w:link w:val="FooterChar"/>
    <w:uiPriority w:val="99"/>
    <w:unhideWhenUsed/>
    <w:rsid w:val="00DF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A8"/>
  </w:style>
  <w:style w:type="paragraph" w:customStyle="1" w:styleId="Paragraph">
    <w:name w:val="Paragraph"/>
    <w:basedOn w:val="Normal"/>
    <w:rsid w:val="002D07A4"/>
    <w:pPr>
      <w:spacing w:before="200" w:line="240" w:lineRule="auto"/>
      <w:jc w:val="both"/>
    </w:pPr>
    <w:rPr>
      <w:rFonts w:ascii="Times New Roman" w:eastAsia="Times New Roman" w:hAnsi="Times New Roman" w:cs="Times New Roman"/>
      <w:szCs w:val="20"/>
    </w:rPr>
  </w:style>
  <w:style w:type="table" w:styleId="TableGrid">
    <w:name w:val="Table Grid"/>
    <w:basedOn w:val="TableNormal"/>
    <w:rsid w:val="002D07A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6F"/>
  </w:style>
  <w:style w:type="paragraph" w:styleId="Heading1">
    <w:name w:val="heading 1"/>
    <w:basedOn w:val="Normal"/>
    <w:next w:val="Normal"/>
    <w:link w:val="Heading1Char"/>
    <w:uiPriority w:val="9"/>
    <w:qFormat/>
    <w:rsid w:val="005D5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C02F2D"/>
    <w:pPr>
      <w:numPr>
        <w:numId w:val="3"/>
      </w:numPr>
      <w:spacing w:before="360" w:after="0"/>
      <w:ind w:left="426" w:hanging="426"/>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CB8"/>
    <w:rPr>
      <w:b/>
      <w:bCs/>
    </w:rPr>
  </w:style>
  <w:style w:type="character" w:customStyle="1" w:styleId="Heading2Char">
    <w:name w:val="Heading 2 Char"/>
    <w:basedOn w:val="DefaultParagraphFont"/>
    <w:link w:val="Heading2"/>
    <w:uiPriority w:val="9"/>
    <w:rsid w:val="00B52BE9"/>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B52BE9"/>
    <w:rPr>
      <w:i/>
      <w:iCs/>
      <w:color w:val="808080" w:themeColor="text1" w:themeTint="7F"/>
    </w:rPr>
  </w:style>
  <w:style w:type="character" w:customStyle="1" w:styleId="Heading3Char">
    <w:name w:val="Heading 3 Char"/>
    <w:basedOn w:val="DefaultParagraphFont"/>
    <w:link w:val="Heading3"/>
    <w:uiPriority w:val="9"/>
    <w:rsid w:val="00C02F2D"/>
    <w:rPr>
      <w:b/>
    </w:rPr>
  </w:style>
  <w:style w:type="character" w:customStyle="1" w:styleId="Heading1Char">
    <w:name w:val="Heading 1 Char"/>
    <w:basedOn w:val="DefaultParagraphFont"/>
    <w:link w:val="Heading1"/>
    <w:uiPriority w:val="9"/>
    <w:rsid w:val="005D5D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D5D38"/>
    <w:pPr>
      <w:spacing w:after="0" w:line="240" w:lineRule="auto"/>
    </w:pPr>
  </w:style>
  <w:style w:type="character" w:styleId="Emphasis">
    <w:name w:val="Emphasis"/>
    <w:basedOn w:val="DefaultParagraphFont"/>
    <w:uiPriority w:val="20"/>
    <w:qFormat/>
    <w:rsid w:val="005D5D38"/>
    <w:rPr>
      <w:i/>
      <w:iCs/>
    </w:rPr>
  </w:style>
  <w:style w:type="character" w:styleId="CommentReference">
    <w:name w:val="annotation reference"/>
    <w:basedOn w:val="DefaultParagraphFont"/>
    <w:uiPriority w:val="99"/>
    <w:semiHidden/>
    <w:unhideWhenUsed/>
    <w:rsid w:val="00CD34E1"/>
    <w:rPr>
      <w:sz w:val="16"/>
      <w:szCs w:val="16"/>
    </w:rPr>
  </w:style>
  <w:style w:type="paragraph" w:styleId="CommentText">
    <w:name w:val="annotation text"/>
    <w:basedOn w:val="Normal"/>
    <w:link w:val="CommentTextChar"/>
    <w:uiPriority w:val="99"/>
    <w:semiHidden/>
    <w:unhideWhenUsed/>
    <w:rsid w:val="00CD34E1"/>
    <w:pPr>
      <w:spacing w:line="240" w:lineRule="auto"/>
    </w:pPr>
    <w:rPr>
      <w:sz w:val="20"/>
      <w:szCs w:val="20"/>
    </w:rPr>
  </w:style>
  <w:style w:type="character" w:customStyle="1" w:styleId="CommentTextChar">
    <w:name w:val="Comment Text Char"/>
    <w:basedOn w:val="DefaultParagraphFont"/>
    <w:link w:val="CommentText"/>
    <w:uiPriority w:val="99"/>
    <w:semiHidden/>
    <w:rsid w:val="00CD34E1"/>
    <w:rPr>
      <w:sz w:val="20"/>
      <w:szCs w:val="20"/>
    </w:rPr>
  </w:style>
  <w:style w:type="paragraph" w:styleId="CommentSubject">
    <w:name w:val="annotation subject"/>
    <w:basedOn w:val="CommentText"/>
    <w:next w:val="CommentText"/>
    <w:link w:val="CommentSubjectChar"/>
    <w:uiPriority w:val="99"/>
    <w:semiHidden/>
    <w:unhideWhenUsed/>
    <w:rsid w:val="00CD34E1"/>
    <w:rPr>
      <w:b/>
      <w:bCs/>
    </w:rPr>
  </w:style>
  <w:style w:type="character" w:customStyle="1" w:styleId="CommentSubjectChar">
    <w:name w:val="Comment Subject Char"/>
    <w:basedOn w:val="CommentTextChar"/>
    <w:link w:val="CommentSubject"/>
    <w:uiPriority w:val="99"/>
    <w:semiHidden/>
    <w:rsid w:val="00CD34E1"/>
    <w:rPr>
      <w:b/>
      <w:bCs/>
      <w:sz w:val="20"/>
      <w:szCs w:val="20"/>
    </w:rPr>
  </w:style>
  <w:style w:type="paragraph" w:styleId="BalloonText">
    <w:name w:val="Balloon Text"/>
    <w:basedOn w:val="Normal"/>
    <w:link w:val="BalloonTextChar"/>
    <w:uiPriority w:val="99"/>
    <w:semiHidden/>
    <w:unhideWhenUsed/>
    <w:rsid w:val="00CD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E1"/>
    <w:rPr>
      <w:rFonts w:ascii="Tahoma" w:hAnsi="Tahoma" w:cs="Tahoma"/>
      <w:sz w:val="16"/>
      <w:szCs w:val="16"/>
    </w:rPr>
  </w:style>
  <w:style w:type="character" w:styleId="Hyperlink">
    <w:name w:val="Hyperlink"/>
    <w:basedOn w:val="DefaultParagraphFont"/>
    <w:uiPriority w:val="99"/>
    <w:unhideWhenUsed/>
    <w:rsid w:val="00C55228"/>
    <w:rPr>
      <w:color w:val="0000FF"/>
      <w:u w:val="single"/>
    </w:rPr>
  </w:style>
  <w:style w:type="paragraph" w:styleId="NormalWeb">
    <w:name w:val="Normal (Web)"/>
    <w:basedOn w:val="Normal"/>
    <w:uiPriority w:val="99"/>
    <w:semiHidden/>
    <w:unhideWhenUsed/>
    <w:rsid w:val="00C552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7532B"/>
    <w:pPr>
      <w:spacing w:after="0" w:line="240" w:lineRule="auto"/>
    </w:pPr>
  </w:style>
  <w:style w:type="paragraph" w:styleId="FootnoteText">
    <w:name w:val="footnote text"/>
    <w:basedOn w:val="Normal"/>
    <w:link w:val="FootnoteTextChar"/>
    <w:uiPriority w:val="99"/>
    <w:semiHidden/>
    <w:unhideWhenUsed/>
    <w:rsid w:val="00563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0DC"/>
    <w:rPr>
      <w:sz w:val="20"/>
      <w:szCs w:val="20"/>
    </w:rPr>
  </w:style>
  <w:style w:type="character" w:styleId="FootnoteReference">
    <w:name w:val="footnote reference"/>
    <w:basedOn w:val="DefaultParagraphFont"/>
    <w:uiPriority w:val="99"/>
    <w:semiHidden/>
    <w:unhideWhenUsed/>
    <w:rsid w:val="005630DC"/>
    <w:rPr>
      <w:vertAlign w:val="superscript"/>
    </w:rPr>
  </w:style>
  <w:style w:type="paragraph" w:styleId="ListParagraph">
    <w:name w:val="List Paragraph"/>
    <w:basedOn w:val="Normal"/>
    <w:uiPriority w:val="34"/>
    <w:qFormat/>
    <w:rsid w:val="00EB127E"/>
    <w:pPr>
      <w:ind w:left="720"/>
      <w:contextualSpacing/>
    </w:pPr>
  </w:style>
  <w:style w:type="paragraph" w:styleId="Header">
    <w:name w:val="header"/>
    <w:basedOn w:val="Normal"/>
    <w:link w:val="HeaderChar"/>
    <w:uiPriority w:val="99"/>
    <w:unhideWhenUsed/>
    <w:rsid w:val="00DF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A8"/>
  </w:style>
  <w:style w:type="paragraph" w:styleId="Footer">
    <w:name w:val="footer"/>
    <w:basedOn w:val="Normal"/>
    <w:link w:val="FooterChar"/>
    <w:uiPriority w:val="99"/>
    <w:unhideWhenUsed/>
    <w:rsid w:val="00DF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A8"/>
  </w:style>
  <w:style w:type="paragraph" w:customStyle="1" w:styleId="Paragraph">
    <w:name w:val="Paragraph"/>
    <w:basedOn w:val="Normal"/>
    <w:rsid w:val="002D07A4"/>
    <w:pPr>
      <w:spacing w:before="200" w:line="240" w:lineRule="auto"/>
      <w:jc w:val="both"/>
    </w:pPr>
    <w:rPr>
      <w:rFonts w:ascii="Times New Roman" w:eastAsia="Times New Roman" w:hAnsi="Times New Roman" w:cs="Times New Roman"/>
      <w:szCs w:val="20"/>
    </w:rPr>
  </w:style>
  <w:style w:type="table" w:styleId="TableGrid">
    <w:name w:val="Table Grid"/>
    <w:basedOn w:val="TableNormal"/>
    <w:rsid w:val="002D07A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142">
      <w:bodyDiv w:val="1"/>
      <w:marLeft w:val="0"/>
      <w:marRight w:val="0"/>
      <w:marTop w:val="0"/>
      <w:marBottom w:val="0"/>
      <w:divBdr>
        <w:top w:val="none" w:sz="0" w:space="0" w:color="auto"/>
        <w:left w:val="none" w:sz="0" w:space="0" w:color="auto"/>
        <w:bottom w:val="none" w:sz="0" w:space="0" w:color="auto"/>
        <w:right w:val="none" w:sz="0" w:space="0" w:color="auto"/>
      </w:divBdr>
    </w:div>
    <w:div w:id="23216759">
      <w:bodyDiv w:val="1"/>
      <w:marLeft w:val="0"/>
      <w:marRight w:val="0"/>
      <w:marTop w:val="0"/>
      <w:marBottom w:val="0"/>
      <w:divBdr>
        <w:top w:val="none" w:sz="0" w:space="0" w:color="auto"/>
        <w:left w:val="none" w:sz="0" w:space="0" w:color="auto"/>
        <w:bottom w:val="none" w:sz="0" w:space="0" w:color="auto"/>
        <w:right w:val="none" w:sz="0" w:space="0" w:color="auto"/>
      </w:divBdr>
      <w:divsChild>
        <w:div w:id="1289239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2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35092">
      <w:bodyDiv w:val="1"/>
      <w:marLeft w:val="0"/>
      <w:marRight w:val="0"/>
      <w:marTop w:val="0"/>
      <w:marBottom w:val="0"/>
      <w:divBdr>
        <w:top w:val="none" w:sz="0" w:space="0" w:color="auto"/>
        <w:left w:val="none" w:sz="0" w:space="0" w:color="auto"/>
        <w:bottom w:val="none" w:sz="0" w:space="0" w:color="auto"/>
        <w:right w:val="none" w:sz="0" w:space="0" w:color="auto"/>
      </w:divBdr>
      <w:divsChild>
        <w:div w:id="17708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053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9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7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28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5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1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7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1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03338">
      <w:bodyDiv w:val="1"/>
      <w:marLeft w:val="0"/>
      <w:marRight w:val="0"/>
      <w:marTop w:val="0"/>
      <w:marBottom w:val="0"/>
      <w:divBdr>
        <w:top w:val="none" w:sz="0" w:space="0" w:color="auto"/>
        <w:left w:val="none" w:sz="0" w:space="0" w:color="auto"/>
        <w:bottom w:val="none" w:sz="0" w:space="0" w:color="auto"/>
        <w:right w:val="none" w:sz="0" w:space="0" w:color="auto"/>
      </w:divBdr>
      <w:divsChild>
        <w:div w:id="20362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17165">
      <w:bodyDiv w:val="1"/>
      <w:marLeft w:val="0"/>
      <w:marRight w:val="0"/>
      <w:marTop w:val="0"/>
      <w:marBottom w:val="0"/>
      <w:divBdr>
        <w:top w:val="none" w:sz="0" w:space="0" w:color="auto"/>
        <w:left w:val="none" w:sz="0" w:space="0" w:color="auto"/>
        <w:bottom w:val="none" w:sz="0" w:space="0" w:color="auto"/>
        <w:right w:val="none" w:sz="0" w:space="0" w:color="auto"/>
      </w:divBdr>
      <w:divsChild>
        <w:div w:id="64042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41892">
      <w:bodyDiv w:val="1"/>
      <w:marLeft w:val="0"/>
      <w:marRight w:val="0"/>
      <w:marTop w:val="0"/>
      <w:marBottom w:val="0"/>
      <w:divBdr>
        <w:top w:val="none" w:sz="0" w:space="0" w:color="auto"/>
        <w:left w:val="none" w:sz="0" w:space="0" w:color="auto"/>
        <w:bottom w:val="none" w:sz="0" w:space="0" w:color="auto"/>
        <w:right w:val="none" w:sz="0" w:space="0" w:color="auto"/>
      </w:divBdr>
      <w:divsChild>
        <w:div w:id="175408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991638">
      <w:bodyDiv w:val="1"/>
      <w:marLeft w:val="0"/>
      <w:marRight w:val="0"/>
      <w:marTop w:val="0"/>
      <w:marBottom w:val="0"/>
      <w:divBdr>
        <w:top w:val="none" w:sz="0" w:space="0" w:color="auto"/>
        <w:left w:val="none" w:sz="0" w:space="0" w:color="auto"/>
        <w:bottom w:val="none" w:sz="0" w:space="0" w:color="auto"/>
        <w:right w:val="none" w:sz="0" w:space="0" w:color="auto"/>
      </w:divBdr>
      <w:divsChild>
        <w:div w:id="32016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9157">
      <w:bodyDiv w:val="1"/>
      <w:marLeft w:val="0"/>
      <w:marRight w:val="0"/>
      <w:marTop w:val="0"/>
      <w:marBottom w:val="0"/>
      <w:divBdr>
        <w:top w:val="none" w:sz="0" w:space="0" w:color="auto"/>
        <w:left w:val="none" w:sz="0" w:space="0" w:color="auto"/>
        <w:bottom w:val="none" w:sz="0" w:space="0" w:color="auto"/>
        <w:right w:val="none" w:sz="0" w:space="0" w:color="auto"/>
      </w:divBdr>
    </w:div>
    <w:div w:id="592127914">
      <w:bodyDiv w:val="1"/>
      <w:marLeft w:val="0"/>
      <w:marRight w:val="0"/>
      <w:marTop w:val="0"/>
      <w:marBottom w:val="0"/>
      <w:divBdr>
        <w:top w:val="none" w:sz="0" w:space="0" w:color="auto"/>
        <w:left w:val="none" w:sz="0" w:space="0" w:color="auto"/>
        <w:bottom w:val="none" w:sz="0" w:space="0" w:color="auto"/>
        <w:right w:val="none" w:sz="0" w:space="0" w:color="auto"/>
      </w:divBdr>
      <w:divsChild>
        <w:div w:id="181764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4364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59231">
      <w:bodyDiv w:val="1"/>
      <w:marLeft w:val="0"/>
      <w:marRight w:val="0"/>
      <w:marTop w:val="0"/>
      <w:marBottom w:val="0"/>
      <w:divBdr>
        <w:top w:val="none" w:sz="0" w:space="0" w:color="auto"/>
        <w:left w:val="none" w:sz="0" w:space="0" w:color="auto"/>
        <w:bottom w:val="none" w:sz="0" w:space="0" w:color="auto"/>
        <w:right w:val="none" w:sz="0" w:space="0" w:color="auto"/>
      </w:divBdr>
      <w:divsChild>
        <w:div w:id="194368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2105">
      <w:bodyDiv w:val="1"/>
      <w:marLeft w:val="0"/>
      <w:marRight w:val="0"/>
      <w:marTop w:val="0"/>
      <w:marBottom w:val="0"/>
      <w:divBdr>
        <w:top w:val="none" w:sz="0" w:space="0" w:color="auto"/>
        <w:left w:val="none" w:sz="0" w:space="0" w:color="auto"/>
        <w:bottom w:val="none" w:sz="0" w:space="0" w:color="auto"/>
        <w:right w:val="none" w:sz="0" w:space="0" w:color="auto"/>
      </w:divBdr>
      <w:divsChild>
        <w:div w:id="11453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152225">
      <w:bodyDiv w:val="1"/>
      <w:marLeft w:val="0"/>
      <w:marRight w:val="0"/>
      <w:marTop w:val="0"/>
      <w:marBottom w:val="0"/>
      <w:divBdr>
        <w:top w:val="none" w:sz="0" w:space="0" w:color="auto"/>
        <w:left w:val="none" w:sz="0" w:space="0" w:color="auto"/>
        <w:bottom w:val="none" w:sz="0" w:space="0" w:color="auto"/>
        <w:right w:val="none" w:sz="0" w:space="0" w:color="auto"/>
      </w:divBdr>
      <w:divsChild>
        <w:div w:id="198642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108445">
      <w:bodyDiv w:val="1"/>
      <w:marLeft w:val="0"/>
      <w:marRight w:val="0"/>
      <w:marTop w:val="0"/>
      <w:marBottom w:val="0"/>
      <w:divBdr>
        <w:top w:val="none" w:sz="0" w:space="0" w:color="auto"/>
        <w:left w:val="none" w:sz="0" w:space="0" w:color="auto"/>
        <w:bottom w:val="none" w:sz="0" w:space="0" w:color="auto"/>
        <w:right w:val="none" w:sz="0" w:space="0" w:color="auto"/>
      </w:divBdr>
    </w:div>
    <w:div w:id="1109545488">
      <w:bodyDiv w:val="1"/>
      <w:marLeft w:val="0"/>
      <w:marRight w:val="0"/>
      <w:marTop w:val="0"/>
      <w:marBottom w:val="0"/>
      <w:divBdr>
        <w:top w:val="none" w:sz="0" w:space="0" w:color="auto"/>
        <w:left w:val="none" w:sz="0" w:space="0" w:color="auto"/>
        <w:bottom w:val="none" w:sz="0" w:space="0" w:color="auto"/>
        <w:right w:val="none" w:sz="0" w:space="0" w:color="auto"/>
      </w:divBdr>
      <w:divsChild>
        <w:div w:id="58333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915488">
      <w:bodyDiv w:val="1"/>
      <w:marLeft w:val="0"/>
      <w:marRight w:val="0"/>
      <w:marTop w:val="0"/>
      <w:marBottom w:val="0"/>
      <w:divBdr>
        <w:top w:val="none" w:sz="0" w:space="0" w:color="auto"/>
        <w:left w:val="none" w:sz="0" w:space="0" w:color="auto"/>
        <w:bottom w:val="none" w:sz="0" w:space="0" w:color="auto"/>
        <w:right w:val="none" w:sz="0" w:space="0" w:color="auto"/>
      </w:divBdr>
      <w:divsChild>
        <w:div w:id="158225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057924">
      <w:bodyDiv w:val="1"/>
      <w:marLeft w:val="0"/>
      <w:marRight w:val="0"/>
      <w:marTop w:val="0"/>
      <w:marBottom w:val="0"/>
      <w:divBdr>
        <w:top w:val="none" w:sz="0" w:space="0" w:color="auto"/>
        <w:left w:val="none" w:sz="0" w:space="0" w:color="auto"/>
        <w:bottom w:val="none" w:sz="0" w:space="0" w:color="auto"/>
        <w:right w:val="none" w:sz="0" w:space="0" w:color="auto"/>
      </w:divBdr>
      <w:divsChild>
        <w:div w:id="112689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755696">
      <w:bodyDiv w:val="1"/>
      <w:marLeft w:val="0"/>
      <w:marRight w:val="0"/>
      <w:marTop w:val="0"/>
      <w:marBottom w:val="0"/>
      <w:divBdr>
        <w:top w:val="none" w:sz="0" w:space="0" w:color="auto"/>
        <w:left w:val="none" w:sz="0" w:space="0" w:color="auto"/>
        <w:bottom w:val="none" w:sz="0" w:space="0" w:color="auto"/>
        <w:right w:val="none" w:sz="0" w:space="0" w:color="auto"/>
      </w:divBdr>
      <w:divsChild>
        <w:div w:id="3319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2515">
      <w:bodyDiv w:val="1"/>
      <w:marLeft w:val="0"/>
      <w:marRight w:val="0"/>
      <w:marTop w:val="0"/>
      <w:marBottom w:val="0"/>
      <w:divBdr>
        <w:top w:val="none" w:sz="0" w:space="0" w:color="auto"/>
        <w:left w:val="none" w:sz="0" w:space="0" w:color="auto"/>
        <w:bottom w:val="none" w:sz="0" w:space="0" w:color="auto"/>
        <w:right w:val="none" w:sz="0" w:space="0" w:color="auto"/>
      </w:divBdr>
      <w:divsChild>
        <w:div w:id="86004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574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workaustrali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EBECD.E1A345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EBECD.E1A345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DDF6-9135-4E03-B06C-EFA0EEFF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B4F5B884.dotm</Template>
  <TotalTime>0</TotalTime>
  <Pages>11</Pages>
  <Words>3703</Words>
  <Characters>20558</Characters>
  <Application>Microsoft Office Word</Application>
  <DocSecurity>0</DocSecurity>
  <Lines>419</Lines>
  <Paragraphs>272</Paragraphs>
  <ScaleCrop>false</ScaleCrop>
  <HeadingPairs>
    <vt:vector size="2" baseType="variant">
      <vt:variant>
        <vt:lpstr>Title</vt:lpstr>
      </vt:variant>
      <vt:variant>
        <vt:i4>1</vt:i4>
      </vt:variant>
    </vt:vector>
  </HeadingPairs>
  <TitlesOfParts>
    <vt:vector size="1" baseType="lpstr">
      <vt:lpstr>Consultation Overview Paper - Red Tape Reduction in Rehabilitation and Compensation Act 1988</vt:lpstr>
    </vt:vector>
  </TitlesOfParts>
  <Company>Department of Justice</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Overview Paper - Red Tape Reduction in Rehabilitation and Compensation Act 1988</dc:title>
  <dc:subject>consultation paper, red tape reduction</dc:subject>
  <dc:creator>WorkSafe Tasmania</dc:creator>
  <cp:keywords>consultation paper, red tape reduction, workers compensation act</cp:keywords>
  <dc:description>This is the consultation paper for comments on red tape reduction in workers compensation act</dc:description>
  <cp:lastModifiedBy>Smietanska, Joanna</cp:lastModifiedBy>
  <cp:revision>2</cp:revision>
  <cp:lastPrinted>2015-08-27T23:54:00Z</cp:lastPrinted>
  <dcterms:created xsi:type="dcterms:W3CDTF">2015-08-31T03:17:00Z</dcterms:created>
  <dcterms:modified xsi:type="dcterms:W3CDTF">2015-08-31T03:17:00Z</dcterms:modified>
</cp:coreProperties>
</file>